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0" w:firstLineChars="0"/>
        <w:outlineLvl w:val="0"/>
        <w:rPr>
          <w:rFonts w:eastAsia="黑体"/>
          <w:szCs w:val="32"/>
        </w:rPr>
      </w:pPr>
    </w:p>
    <w:p>
      <w:pPr>
        <w:spacing w:line="600" w:lineRule="exact"/>
        <w:ind w:firstLine="0" w:firstLineChars="0"/>
        <w:jc w:val="left"/>
        <w:rPr>
          <w:rFonts w:eastAsia="黑体"/>
          <w:szCs w:val="32"/>
        </w:rPr>
      </w:pPr>
    </w:p>
    <w:p>
      <w:pPr>
        <w:spacing w:line="600" w:lineRule="exact"/>
        <w:ind w:firstLine="0" w:firstLineChars="0"/>
        <w:jc w:val="center"/>
        <w:rPr>
          <w:rFonts w:eastAsia="黑体"/>
          <w:color w:val="000000" w:themeColor="text1"/>
          <w:szCs w:val="32"/>
          <w14:textFill>
            <w14:solidFill>
              <w14:schemeClr w14:val="tx1"/>
            </w14:solidFill>
          </w14:textFill>
        </w:rPr>
      </w:pPr>
      <w:r>
        <w:rPr>
          <w:rFonts w:eastAsia="方正大标宋简体"/>
          <w:color w:val="000000" w:themeColor="text1"/>
          <w:sz w:val="44"/>
          <w:szCs w:val="42"/>
          <w14:textFill>
            <w14:solidFill>
              <w14:schemeClr w14:val="tx1"/>
            </w14:solidFill>
          </w14:textFill>
        </w:rPr>
        <w:t>北京证券交易所交易规则</w:t>
      </w:r>
    </w:p>
    <w:p>
      <w:pPr>
        <w:pStyle w:val="2"/>
        <w:spacing w:line="600" w:lineRule="exact"/>
        <w:ind w:firstLine="640"/>
        <w:rPr>
          <w:rFonts w:ascii="Times New Roman" w:hAnsi="Times New Roman" w:eastAsia="方正楷体_GBK"/>
          <w:b w:val="0"/>
          <w:bCs/>
        </w:rPr>
      </w:pPr>
    </w:p>
    <w:p>
      <w:pPr>
        <w:pStyle w:val="2"/>
        <w:spacing w:line="600" w:lineRule="exact"/>
        <w:ind w:firstLine="640"/>
        <w:rPr>
          <w:rFonts w:ascii="Times New Roman" w:hAnsi="Times New Roman" w:eastAsia="楷体"/>
          <w:b w:val="0"/>
          <w:bCs/>
        </w:rPr>
      </w:pPr>
      <w:r>
        <w:rPr>
          <w:rFonts w:ascii="Times New Roman" w:hAnsi="Times New Roman" w:eastAsia="楷体"/>
          <w:b w:val="0"/>
          <w:bCs/>
        </w:rPr>
        <w:t>（2021年11月2日发布《北京证券交易所交易规则（试行）》，2026年4月24日第一次修订并更名为《北京证券交易所交易规则》）</w:t>
      </w:r>
    </w:p>
    <w:p>
      <w:pPr>
        <w:pStyle w:val="2"/>
        <w:spacing w:line="600" w:lineRule="exact"/>
        <w:ind w:firstLine="643"/>
      </w:pP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第一章  总</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则</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1.1</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为了规范证券市场交易行为，维护证券市场秩序，保护投资者合法权益，根据《中华人民共和国证券法》</w:t>
      </w:r>
      <w:r>
        <w:rPr>
          <w:rFonts w:ascii="仿宋" w:hAnsi="仿宋"/>
          <w:color w:val="000000" w:themeColor="text1"/>
          <w:szCs w:val="32"/>
          <w14:textFill>
            <w14:solidFill>
              <w14:schemeClr w14:val="tx1"/>
            </w14:solidFill>
          </w14:textFill>
        </w:rPr>
        <w:t>（以下简称《证券法》）、</w:t>
      </w:r>
      <w:r>
        <w:rPr>
          <w:bCs/>
          <w:color w:val="000000" w:themeColor="text1"/>
          <w:szCs w:val="32"/>
          <w14:textFill>
            <w14:solidFill>
              <w14:schemeClr w14:val="tx1"/>
            </w14:solidFill>
          </w14:textFill>
        </w:rPr>
        <w:t>《证券交易所管理办法》等法律法规、部门规章和规范性文件等相关规定，制定本规则。</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在北京证券交易所（以下简称本所）上市证券的交易适用本规则。本规则未作规定的，适用本所其他有关规定。</w:t>
      </w:r>
    </w:p>
    <w:p>
      <w:pPr>
        <w:pStyle w:val="2"/>
        <w:spacing w:line="600" w:lineRule="exact"/>
        <w:ind w:firstLine="640"/>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本所对债券等交易另有规定的，从其规定。</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1.3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证券交易及相关活动实行公开、公平、公正的原则，禁止证券欺诈、内幕交易、操纵市场等违法违规行为。</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1.4</w:t>
      </w:r>
      <w:r>
        <w:rPr>
          <w:rFonts w:hint="eastAsia"/>
          <w:color w:val="000000" w:themeColor="text1"/>
          <w:szCs w:val="32"/>
          <w14:textFill>
            <w14:solidFill>
              <w14:schemeClr w14:val="tx1"/>
            </w14:solidFill>
          </w14:textFill>
        </w:rPr>
        <w:t xml:space="preserve"> 证券交易</w:t>
      </w:r>
      <w:r>
        <w:rPr>
          <w:color w:val="000000" w:themeColor="text1"/>
          <w:szCs w:val="32"/>
          <w14:textFill>
            <w14:solidFill>
              <w14:schemeClr w14:val="tx1"/>
            </w14:solidFill>
          </w14:textFill>
        </w:rPr>
        <w:t>应当遵守法律法规、部门规章及本所业务规则，遵循自愿、有偿、诚实信用原则。</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1.5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本所为证券交易活动提供服务，并依法对相关证券交易活动进行自律管理。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证券交易采用无纸化的集中交易或经中国证券监督管理委员会（以下简称中国证监会）批准的其他方式。</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第二章  交易市场</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第一节  </w:t>
      </w:r>
      <w:r>
        <w:rPr>
          <w:rFonts w:ascii="Times New Roman" w:hAnsi="Times New Roman" w:eastAsia="楷体" w:cs="Times New Roman"/>
          <w:b w:val="0"/>
          <w:color w:val="000000" w:themeColor="text1"/>
          <w14:textFill>
            <w14:solidFill>
              <w14:schemeClr w14:val="tx1"/>
            </w14:solidFill>
          </w14:textFill>
        </w:rPr>
        <w:t>交易设施</w:t>
      </w:r>
      <w:r>
        <w:rPr>
          <w:rFonts w:hint="eastAsia" w:ascii="Times New Roman" w:hAnsi="Times New Roman" w:eastAsia="楷体" w:cs="Times New Roman"/>
          <w:b w:val="0"/>
          <w:color w:val="000000" w:themeColor="text1"/>
          <w14:textFill>
            <w14:solidFill>
              <w14:schemeClr w14:val="tx1"/>
            </w14:solidFill>
          </w14:textFill>
        </w:rPr>
        <w:t>及品种</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2.1.1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本所为证券交易提供相关设施，包括交易主机、交易单元、报盘系统及相关通信系统等。</w:t>
      </w:r>
    </w:p>
    <w:p>
      <w:pPr>
        <w:autoSpaceDE w:val="0"/>
        <w:spacing w:line="600" w:lineRule="exact"/>
        <w:ind w:firstLine="640"/>
        <w:jc w:val="left"/>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2</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1</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2 下列证券可以在本所市场上市交易：</w:t>
      </w:r>
    </w:p>
    <w:p>
      <w:pPr>
        <w:pStyle w:val="33"/>
        <w:autoSpaceDE w:val="0"/>
        <w:spacing w:line="600" w:lineRule="exact"/>
        <w:ind w:firstLine="640"/>
        <w:rPr>
          <w:bCs/>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（一</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股票</w:t>
      </w:r>
      <w:r>
        <w:rPr>
          <w:color w:val="000000" w:themeColor="text1"/>
          <w:szCs w:val="32"/>
          <w14:textFill>
            <w14:solidFill>
              <w14:schemeClr w14:val="tx1"/>
            </w14:solidFill>
          </w14:textFill>
        </w:rPr>
        <w:t>；</w:t>
      </w:r>
    </w:p>
    <w:p>
      <w:pPr>
        <w:autoSpaceDE w:val="0"/>
        <w:spacing w:line="600" w:lineRule="exact"/>
        <w:ind w:firstLine="640"/>
        <w:rPr>
          <w:bCs/>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（二</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经中国证监会批准的其他交易品种。</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第二节  </w:t>
      </w:r>
      <w:r>
        <w:rPr>
          <w:rFonts w:ascii="Times New Roman" w:hAnsi="Times New Roman" w:eastAsia="楷体" w:cs="Times New Roman"/>
          <w:b w:val="0"/>
          <w:color w:val="000000" w:themeColor="text1"/>
          <w14:textFill>
            <w14:solidFill>
              <w14:schemeClr w14:val="tx1"/>
            </w14:solidFill>
          </w14:textFill>
        </w:rPr>
        <w:t>交易</w:t>
      </w:r>
      <w:r>
        <w:rPr>
          <w:rFonts w:hint="eastAsia" w:ascii="Times New Roman" w:hAnsi="Times New Roman" w:eastAsia="楷体" w:cs="Times New Roman"/>
          <w:b w:val="0"/>
          <w:color w:val="000000" w:themeColor="text1"/>
          <w14:textFill>
            <w14:solidFill>
              <w14:schemeClr w14:val="tx1"/>
            </w14:solidFill>
          </w14:textFill>
        </w:rPr>
        <w:t>参与人</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2</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 xml:space="preserve">1 </w:t>
      </w:r>
      <w:r>
        <w:rPr>
          <w:color w:val="000000" w:themeColor="text1"/>
          <w:szCs w:val="32"/>
          <w14:textFill>
            <w14:solidFill>
              <w14:schemeClr w14:val="tx1"/>
            </w14:solidFill>
          </w14:textFill>
        </w:rPr>
        <w:t>会员及本所认可的机构进入本所市场进行证券交易，应当向本所申请取得交易权限，成为本所交易参与人。</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交易参与人应当通过在本所申请开设的交易单元进行证券交易，并遵守本规则及本所其他业务规则关于证券交易业务的相关规定。</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2</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 xml:space="preserve">2 </w:t>
      </w:r>
      <w:r>
        <w:rPr>
          <w:color w:val="000000" w:themeColor="text1"/>
          <w:szCs w:val="32"/>
          <w14:textFill>
            <w14:solidFill>
              <w14:schemeClr w14:val="tx1"/>
            </w14:solidFill>
          </w14:textFill>
        </w:rPr>
        <w:t>交易单元是指交易参与人向本所申请设立的、参与本所证券交易，并接受本所服务及管理的基本业务单位。</w:t>
      </w:r>
    </w:p>
    <w:p>
      <w:pPr>
        <w:autoSpaceDE w:val="0"/>
        <w:spacing w:line="600" w:lineRule="exact"/>
        <w:ind w:firstLine="640"/>
        <w:jc w:val="left"/>
        <w:rPr>
          <w:color w:val="000000" w:themeColor="text1"/>
          <w:szCs w:val="32"/>
          <w14:textFill>
            <w14:solidFill>
              <w14:schemeClr w14:val="tx1"/>
            </w14:solidFill>
          </w14:textFill>
        </w:rPr>
      </w:pP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2</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 xml:space="preserve">3 </w:t>
      </w:r>
      <w:r>
        <w:rPr>
          <w:color w:val="000000" w:themeColor="text1"/>
          <w:szCs w:val="32"/>
          <w14:textFill>
            <w14:solidFill>
              <w14:schemeClr w14:val="tx1"/>
            </w14:solidFill>
          </w14:textFill>
        </w:rPr>
        <w:t>交易单元和交易权限的具体规定，由本所另行制定。</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第三节  交易时间</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2.3.1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本所交易日为每周一至周五。</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国家法定节假日和本所公告的休市日，本所市场休市。</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2.3.2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采取竞价交易方式的，每个交易日的9:15至9:25为开盘集合竞价时间，9:30至11:30、13:00至14:57为连续竞价时间，14:57至15:00为收盘集合竞价时间。</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经中国证监会批准，本所可以调整交易时间。</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交易时间内因故停市，交易时间不作顺延。</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第三章  证券交易</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第一节  一般规定</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3.1.1</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会员接受投资者的买卖委托后，应当确认投资者具备相应证券或资金，并按照委托的内容向本所申报，承担相应的交易、交收责任。</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会员接受投资者买卖委托达成交易的，投资者应当向会员交付其委托会员卖出的证券或其委托会员买入证券的款项，会员应当向投资者交付卖出证券所得款项或买入的证券。</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3.1.2</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交易参与人通过其相关的报盘系统向本所交易主机发送买卖申报指令，并按本规则达成交易，交易记录由本所发送至交易参与人。</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3.1.3</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交易参与人应当按照有关规定妥善保管委托和申报记录。</w:t>
      </w:r>
    </w:p>
    <w:p>
      <w:pPr>
        <w:autoSpaceDE w:val="0"/>
        <w:spacing w:line="600" w:lineRule="exact"/>
        <w:ind w:firstLine="640"/>
        <w:rPr>
          <w:color w:val="000000" w:themeColor="text1"/>
          <w14:textFill>
            <w14:solidFill>
              <w14:schemeClr w14:val="tx1"/>
            </w14:solidFill>
          </w14:textFill>
        </w:rPr>
      </w:pPr>
      <w:r>
        <w:rPr>
          <w:bCs/>
          <w:color w:val="000000" w:themeColor="text1"/>
          <w:szCs w:val="32"/>
          <w14:textFill>
            <w14:solidFill>
              <w14:schemeClr w14:val="tx1"/>
            </w14:solidFill>
          </w14:textFill>
        </w:rPr>
        <w:t>3.1.4</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投资者买入的证券，买入当日不得卖出，但</w:t>
      </w:r>
      <w:r>
        <w:rPr>
          <w:rFonts w:hint="eastAsia"/>
          <w:bCs/>
          <w:color w:val="000000" w:themeColor="text1"/>
          <w:szCs w:val="32"/>
          <w14:textFill>
            <w14:solidFill>
              <w14:schemeClr w14:val="tx1"/>
            </w14:solidFill>
          </w14:textFill>
        </w:rPr>
        <w:t>实行回转交易</w:t>
      </w:r>
      <w:r>
        <w:rPr>
          <w:bCs/>
          <w:color w:val="000000" w:themeColor="text1"/>
          <w:szCs w:val="32"/>
          <w14:textFill>
            <w14:solidFill>
              <w14:schemeClr w14:val="tx1"/>
            </w14:solidFill>
          </w14:textFill>
        </w:rPr>
        <w:t>的除外。</w:t>
      </w:r>
    </w:p>
    <w:p>
      <w:pPr>
        <w:autoSpaceDE w:val="0"/>
        <w:spacing w:line="600" w:lineRule="exact"/>
        <w:ind w:firstLine="640"/>
        <w:rPr>
          <w:color w:val="000000" w:themeColor="text1"/>
          <w14:textFill>
            <w14:solidFill>
              <w14:schemeClr w14:val="tx1"/>
            </w14:solidFill>
          </w14:textFill>
        </w:rPr>
      </w:pPr>
      <w:r>
        <w:rPr>
          <w:rFonts w:hint="eastAsia"/>
          <w:bCs/>
          <w:color w:val="000000" w:themeColor="text1"/>
          <w:szCs w:val="32"/>
          <w14:textFill>
            <w14:solidFill>
              <w14:schemeClr w14:val="tx1"/>
            </w14:solidFill>
          </w14:textFill>
        </w:rPr>
        <w:t>3.1.5 通过计算机程序自动生成或者下达交易指令进行程序化交易的，应当符合中国证监会的规定，并向本所报告，不得影响本所系统安全或者正常交易秩序。</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第二节  </w:t>
      </w:r>
      <w:r>
        <w:rPr>
          <w:rFonts w:ascii="Times New Roman" w:hAnsi="Times New Roman" w:eastAsia="楷体" w:cs="Times New Roman"/>
          <w:b w:val="0"/>
          <w:color w:val="000000" w:themeColor="text1"/>
          <w14:textFill>
            <w14:solidFill>
              <w14:schemeClr w14:val="tx1"/>
            </w14:solidFill>
          </w14:textFill>
        </w:rPr>
        <w:t>委</w:t>
      </w:r>
      <w:r>
        <w:rPr>
          <w:rFonts w:hint="eastAsia" w:ascii="Times New Roman" w:hAnsi="Times New Roman" w:eastAsia="楷体" w:cs="Times New Roman"/>
          <w:b w:val="0"/>
          <w:color w:val="000000" w:themeColor="text1"/>
          <w14:textFill>
            <w14:solidFill>
              <w14:schemeClr w14:val="tx1"/>
            </w14:solidFill>
          </w14:textFill>
        </w:rPr>
        <w:t xml:space="preserve">  </w:t>
      </w:r>
      <w:r>
        <w:rPr>
          <w:rFonts w:ascii="Times New Roman" w:hAnsi="Times New Roman" w:eastAsia="楷体" w:cs="Times New Roman"/>
          <w:b w:val="0"/>
          <w:color w:val="000000" w:themeColor="text1"/>
          <w14:textFill>
            <w14:solidFill>
              <w14:schemeClr w14:val="tx1"/>
            </w14:solidFill>
          </w14:textFill>
        </w:rPr>
        <w:t>托</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3.2.1</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投资者买卖证券，应当以实名方式开立证券账户和资金账户，与会员签订证券交易委托</w:t>
      </w:r>
      <w:r>
        <w:rPr>
          <w:rFonts w:hint="eastAsia"/>
          <w:bCs/>
          <w:color w:val="000000" w:themeColor="text1"/>
          <w:szCs w:val="32"/>
          <w14:textFill>
            <w14:solidFill>
              <w14:schemeClr w14:val="tx1"/>
            </w14:solidFill>
          </w14:textFill>
        </w:rPr>
        <w:t>代理</w:t>
      </w:r>
      <w:r>
        <w:rPr>
          <w:bCs/>
          <w:color w:val="000000" w:themeColor="text1"/>
          <w:szCs w:val="32"/>
          <w14:textFill>
            <w14:solidFill>
              <w14:schemeClr w14:val="tx1"/>
            </w14:solidFill>
          </w14:textFill>
        </w:rPr>
        <w:t>协议，并按相关规定签署风险揭示书。</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投资者开立证券账户，应当按照证券登记结算机构的规定办理。</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3.2.2</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投资者可以通过书面或电话、自助终端、互联网等自助委托方式委托会员买卖证券。</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投资者进行自助委托的，应按相关规定操作，会员应当记录投资者委托的电话号码、网卡地址、IP地址等信息。</w:t>
      </w:r>
    </w:p>
    <w:p>
      <w:pPr>
        <w:autoSpaceDE w:val="0"/>
        <w:spacing w:line="600" w:lineRule="exact"/>
        <w:ind w:firstLine="640"/>
        <w:rPr>
          <w:bCs/>
          <w:color w:val="000000" w:themeColor="text1"/>
          <w:szCs w:val="32"/>
          <w14:textFill>
            <w14:solidFill>
              <w14:schemeClr w14:val="tx1"/>
            </w14:solidFill>
          </w14:textFill>
        </w:rPr>
      </w:pPr>
      <w:bookmarkStart w:id="0" w:name="到此处"/>
      <w:bookmarkEnd w:id="0"/>
      <w:r>
        <w:rPr>
          <w:bCs/>
          <w:color w:val="000000" w:themeColor="text1"/>
          <w:szCs w:val="32"/>
          <w14:textFill>
            <w14:solidFill>
              <w14:schemeClr w14:val="tx1"/>
            </w14:solidFill>
          </w14:textFill>
        </w:rPr>
        <w:t>3.2.3</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除本所另有规定外，投资者的委托指令应当包括下列内容：</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（一</w:t>
      </w:r>
      <w:r>
        <w:rPr>
          <w:bCs/>
          <w:color w:val="000000" w:themeColor="text1"/>
          <w:szCs w:val="32"/>
          <w14:textFill>
            <w14:solidFill>
              <w14:schemeClr w14:val="tx1"/>
            </w14:solidFill>
          </w14:textFill>
        </w:rPr>
        <w:t>）证券账户号码；</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（二</w:t>
      </w:r>
      <w:r>
        <w:rPr>
          <w:bCs/>
          <w:color w:val="000000" w:themeColor="text1"/>
          <w:szCs w:val="32"/>
          <w14:textFill>
            <w14:solidFill>
              <w14:schemeClr w14:val="tx1"/>
            </w14:solidFill>
          </w14:textFill>
        </w:rPr>
        <w:t>）证券代码；</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（三</w:t>
      </w:r>
      <w:r>
        <w:rPr>
          <w:bCs/>
          <w:color w:val="000000" w:themeColor="text1"/>
          <w:szCs w:val="32"/>
          <w14:textFill>
            <w14:solidFill>
              <w14:schemeClr w14:val="tx1"/>
            </w14:solidFill>
          </w14:textFill>
        </w:rPr>
        <w:t>）买卖方向；</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（四</w:t>
      </w:r>
      <w:r>
        <w:rPr>
          <w:bCs/>
          <w:color w:val="000000" w:themeColor="text1"/>
          <w:szCs w:val="32"/>
          <w14:textFill>
            <w14:solidFill>
              <w14:schemeClr w14:val="tx1"/>
            </w14:solidFill>
          </w14:textFill>
        </w:rPr>
        <w:t>）委托数量；</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（五</w:t>
      </w:r>
      <w:r>
        <w:rPr>
          <w:bCs/>
          <w:color w:val="000000" w:themeColor="text1"/>
          <w:szCs w:val="32"/>
          <w14:textFill>
            <w14:solidFill>
              <w14:schemeClr w14:val="tx1"/>
            </w14:solidFill>
          </w14:textFill>
        </w:rPr>
        <w:t>）委托价格；</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（六）委托类型；</w:t>
      </w:r>
    </w:p>
    <w:p>
      <w:pPr>
        <w:pStyle w:val="33"/>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（七</w:t>
      </w:r>
      <w:r>
        <w:rPr>
          <w:bCs/>
          <w:color w:val="000000" w:themeColor="text1"/>
          <w:szCs w:val="32"/>
          <w14:textFill>
            <w14:solidFill>
              <w14:schemeClr w14:val="tx1"/>
            </w14:solidFill>
          </w14:textFill>
        </w:rPr>
        <w:t>）本所及会员要求的其他内容。</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3.2.4</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投资者可以采用限价委托和市价委托方式委托会员买卖证券，本所另有规定的除外。</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限价委托，是指投资者委托会员按其限定的价格买卖证券的指令。会员必须按限定的价格或低于限定的价格申报买入证券；按限定的价格或高于限定的价格申报卖出证券。</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市价委托，是指投资者委托会员按市场价格买卖证券的指令。</w:t>
      </w:r>
    </w:p>
    <w:p>
      <w:pPr>
        <w:pStyle w:val="33"/>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3.2.5</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投资者可以撤销委托的未成交部分。</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3.2.6</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被撤销和失效的委托，会员应当在确认后及时向投资者返还相应的资金或证券。</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第三节  申  报</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3.3.1</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本所接受交易参与人竞价交易申报的时间为每个交易日9:15至9:25、9:30至11:30、13:00至15:00。</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每个交易日9:20至9:25、14:57至15:00，本所交易主机不接受</w:t>
      </w:r>
      <w:r>
        <w:rPr>
          <w:rFonts w:hint="eastAsia"/>
          <w:bCs/>
          <w:color w:val="000000" w:themeColor="text1"/>
          <w:szCs w:val="32"/>
          <w14:textFill>
            <w14:solidFill>
              <w14:schemeClr w14:val="tx1"/>
            </w14:solidFill>
          </w14:textFill>
        </w:rPr>
        <w:t>参与竞价交易的</w:t>
      </w:r>
      <w:r>
        <w:rPr>
          <w:bCs/>
          <w:color w:val="000000" w:themeColor="text1"/>
          <w:szCs w:val="32"/>
          <w14:textFill>
            <w14:solidFill>
              <w14:schemeClr w14:val="tx1"/>
            </w14:solidFill>
          </w14:textFill>
        </w:rPr>
        <w:t>撤销申报；在其他接受申报的时间内，未成交申报可以撤销。</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本所</w:t>
      </w:r>
      <w:r>
        <w:rPr>
          <w:color w:val="000000" w:themeColor="text1"/>
          <w:szCs w:val="32"/>
          <w14:textFill>
            <w14:solidFill>
              <w14:schemeClr w14:val="tx1"/>
            </w14:solidFill>
          </w14:textFill>
        </w:rPr>
        <w:t>可以调整接受申报的时间。</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3.3.2</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会员</w:t>
      </w:r>
      <w:r>
        <w:rPr>
          <w:color w:val="000000" w:themeColor="text1"/>
          <w:szCs w:val="32"/>
          <w14:textFill>
            <w14:solidFill>
              <w14:schemeClr w14:val="tx1"/>
            </w14:solidFill>
          </w14:textFill>
        </w:rPr>
        <w:t>应当按照接受投资者委托的时间先后顺序及时向本所申报。</w:t>
      </w:r>
    </w:p>
    <w:p>
      <w:pPr>
        <w:pStyle w:val="33"/>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买卖申报和撤销申报经本所交易主机确认后方为有效。</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3.3.3</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除另有规定外，本所接受交易参与人的限价申报和市价申报。</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3.3.4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w:t>
      </w:r>
      <w:r>
        <w:rPr>
          <w:bCs/>
          <w:color w:val="000000" w:themeColor="text1"/>
          <w:szCs w:val="32"/>
          <w14:textFill>
            <w14:solidFill>
              <w14:schemeClr w14:val="tx1"/>
            </w14:solidFill>
          </w14:textFill>
        </w:rPr>
        <w:t>接受下列类型的市价</w:t>
      </w:r>
      <w:r>
        <w:rPr>
          <w:color w:val="000000" w:themeColor="text1"/>
          <w:szCs w:val="32"/>
          <w14:textFill>
            <w14:solidFill>
              <w14:schemeClr w14:val="tx1"/>
            </w14:solidFill>
          </w14:textFill>
        </w:rPr>
        <w:t>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（一）对手方最优价格申报，即该申报以其进入交易主机时，对手方最优价格为其申报价格；对手方无申报的，申报自动撤销；</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（二）本方最优价格申报，即该申报以其进入交易主机时，本方最优价格为其申报价格；本方无申报的，申报自动撤销；</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（三）最优5档即时成交剩余撤销申报，即该申报在对手方最优5个价位内以对手方价格为成交价依次成交，剩余未成交部分自动撤销；</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四）最优5档即时成交剩余转限价申报，即该申报在对手方最优5个价位内以对手方价格为成交价依次成交，剩余未成交部分按本方申报最新成交价转为限价申报；如该申报无成交的，按本方最优价格转为限价申报；如无本方申报的，该申报撤销；</w:t>
      </w:r>
    </w:p>
    <w:p>
      <w:pPr>
        <w:pStyle w:val="33"/>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（五</w:t>
      </w:r>
      <w:r>
        <w:rPr>
          <w:color w:val="000000" w:themeColor="text1"/>
          <w:szCs w:val="32"/>
          <w14:textFill>
            <w14:solidFill>
              <w14:schemeClr w14:val="tx1"/>
            </w14:solidFill>
          </w14:textFill>
        </w:rPr>
        <w:t>）本所规定的其他类型市价申报。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市价申报仅适用于有价格涨跌幅限制证券连续竞价期间的交易。</w:t>
      </w:r>
      <w:r>
        <w:rPr>
          <w:rFonts w:hint="eastAsia"/>
          <w:color w:val="000000" w:themeColor="text1"/>
          <w:szCs w:val="32"/>
          <w14:textFill>
            <w14:solidFill>
              <w14:schemeClr w14:val="tx1"/>
            </w14:solidFill>
          </w14:textFill>
        </w:rPr>
        <w:t>其他交易时间</w:t>
      </w:r>
      <w:r>
        <w:rPr>
          <w:color w:val="000000" w:themeColor="text1"/>
          <w:szCs w:val="32"/>
          <w14:textFill>
            <w14:solidFill>
              <w14:schemeClr w14:val="tx1"/>
            </w14:solidFill>
          </w14:textFill>
        </w:rPr>
        <w:t>，交易主机不接受市价申报。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市价申报采取价格保护措施，买入申报的成交价格和转限价申报的申报价格不高于买入保护限价，卖出申报的成交价格和转限价申报的申报价格不低于卖出保护限价。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买入保护限价是指投资者能够接受的最高买价，卖出保护限价是指投资者能够接受的最低卖价。</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3.3.7</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限价申报指令应包括证券账户号码、证券代码、交易单元代码、证券营业部识别码、买卖方向、申报数量、申报价格等内容。</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市价申报指令应包括申报类型、证券账户号码、证券代码、交易单元代码、证券营业部识别码、买卖方向、申报数量、保护限价等内容。</w:t>
      </w:r>
    </w:p>
    <w:p>
      <w:pPr>
        <w:autoSpaceDE w:val="0"/>
        <w:spacing w:line="600" w:lineRule="exact"/>
        <w:ind w:firstLine="640"/>
        <w:rPr>
          <w:color w:val="000000" w:themeColor="text1"/>
          <w14:textFill>
            <w14:solidFill>
              <w14:schemeClr w14:val="tx1"/>
            </w14:solidFill>
          </w14:textFill>
        </w:rPr>
      </w:pPr>
      <w:r>
        <w:rPr>
          <w:color w:val="000000" w:themeColor="text1"/>
          <w:szCs w:val="32"/>
          <w14:textFill>
            <w14:solidFill>
              <w14:schemeClr w14:val="tx1"/>
            </w14:solidFill>
          </w14:textFill>
        </w:rPr>
        <w:t>申报指令应当按本所规定的格式传送。根据市场需要，本所可以调整申报的内容及方式。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3.3.8</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通过竞价交易买卖股票的，单笔申报数量应当不低于100股。</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卖出股票时，余额不足100股的部分应当一次性申报卖出。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3.3.9</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股票竞价交易单笔申报最大数量应当不超过100万股。</w:t>
      </w:r>
    </w:p>
    <w:p>
      <w:pPr>
        <w:pStyle w:val="33"/>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3.3.10</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股票交易的计价单位为</w:t>
      </w:r>
      <w:r>
        <w:rPr>
          <w:rFonts w:ascii="仿宋" w:hAnsi="仿宋"/>
          <w:color w:val="000000" w:themeColor="text1"/>
          <w:szCs w:val="32"/>
          <w14:textFill>
            <w14:solidFill>
              <w14:schemeClr w14:val="tx1"/>
            </w14:solidFill>
          </w14:textFill>
        </w:rPr>
        <w:t>“每股价格”</w:t>
      </w:r>
      <w:r>
        <w:rPr>
          <w:color w:val="000000" w:themeColor="text1"/>
          <w:szCs w:val="32"/>
          <w14:textFill>
            <w14:solidFill>
              <w14:schemeClr w14:val="tx1"/>
            </w14:solidFill>
          </w14:textFill>
        </w:rPr>
        <w:t>。</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股票交易的申报价格最小变动单位为0.01元人民币。</w:t>
      </w:r>
    </w:p>
    <w:p>
      <w:pPr>
        <w:pStyle w:val="33"/>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本所可以依据股价高低，实施不同的申报价格最小变动单位。</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3.3.11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本所对股票交易实行价格涨跌幅限制，涨跌幅限制比例为30%。价格涨跌幅限制以内的申报为有效申报，超过价格涨跌幅限制的申报为无效申报。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涨跌幅限制价格的计算公式为：涨跌幅限制价格=前收盘价×（1±涨跌幅限制比例）。</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经中国证监会批准，本所可以调整股票的涨跌幅限制比例。</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3.3.12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具有下列情形之一的，股票交易无价格涨跌幅限制：</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向不特定合格投资者公开发行的股票上市交易首日；</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（二）退市整理期首日；</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（三）中国证监会或本所规定的其他情形。</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前款第一项情形不包括上市公司增发的股票。</w:t>
      </w:r>
    </w:p>
    <w:p>
      <w:pPr>
        <w:pStyle w:val="33"/>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3.3.13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有价格涨跌幅限制和无价格涨跌幅限制的股票，在连续竞价阶段的限价申报应当符合下列要求</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否则为无效申报：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（一）买入申报价格不高于买入基准价格的105%或买入基准价格以上10个最小价格变动单位（以孰高为准）；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（二）卖出申报价格不低于卖出基准价格的95%或卖出基准价格以下10个最小价格变动单位（以孰低为准）。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前款所称买入（卖出）基准价格，为即时揭示的最低卖出（最高买入）申报价格；无即时揭示的最低卖出（最高买入）申报价格的，为即时揭示的最高买入（最低卖出）申报价格；无即时揭示的最高买入（最低卖出）申报价格的，为最近成交价；当日无成交的，为前收盘价。</w:t>
      </w:r>
    </w:p>
    <w:p>
      <w:pPr>
        <w:pStyle w:val="33"/>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集合竞价阶段及</w:t>
      </w:r>
      <w:r>
        <w:rPr>
          <w:color w:val="000000" w:themeColor="text1"/>
          <w:szCs w:val="32"/>
          <w14:textFill>
            <w14:solidFill>
              <w14:schemeClr w14:val="tx1"/>
            </w14:solidFill>
          </w14:textFill>
        </w:rPr>
        <w:t>开市期间临时停牌阶段的限价申报，不适用本条前述规定。</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本所可以根据市场情况调整股票的有效</w:t>
      </w:r>
      <w:r>
        <w:rPr>
          <w:rFonts w:hint="eastAsia"/>
          <w:color w:val="000000" w:themeColor="text1"/>
          <w:szCs w:val="32"/>
          <w14:textFill>
            <w14:solidFill>
              <w14:schemeClr w14:val="tx1"/>
            </w14:solidFill>
          </w14:textFill>
        </w:rPr>
        <w:t>申报</w:t>
      </w:r>
      <w:r>
        <w:rPr>
          <w:color w:val="000000" w:themeColor="text1"/>
          <w:szCs w:val="32"/>
          <w14:textFill>
            <w14:solidFill>
              <w14:schemeClr w14:val="tx1"/>
            </w14:solidFill>
          </w14:textFill>
        </w:rPr>
        <w:t>价格范围。</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3.3.14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申报当日有效。每笔参与竞价交易的申报不能一次全部成交时，未成交的部分继续参加当日竞价，本规则另有规定的除外。</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3.3.15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根据市场需要，本所可以调整证券交易的单笔申报数量、单笔申报最大数量和申报价格的最小变动单位。</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第四节  竞  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3.4.1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证券竞价交易采用集合竞价和连续竞价两种方式</w:t>
      </w:r>
      <w:r>
        <w:rPr>
          <w:bCs/>
          <w:color w:val="000000" w:themeColor="text1"/>
          <w:szCs w:val="32"/>
          <w14:textFill>
            <w14:solidFill>
              <w14:schemeClr w14:val="tx1"/>
            </w14:solidFill>
          </w14:textFill>
        </w:rPr>
        <w:t>。</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集合竞价是指</w:t>
      </w:r>
      <w:r>
        <w:rPr>
          <w:color w:val="000000" w:themeColor="text1"/>
          <w:szCs w:val="32"/>
          <w14:textFill>
            <w14:solidFill>
              <w14:schemeClr w14:val="tx1"/>
            </w14:solidFill>
          </w14:textFill>
        </w:rPr>
        <w:t>对一段时间内接受的买卖申报一次性集中撮合的竞价方式。</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连续竞价是指对买卖申报逐笔连续撮合的竞价方式。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3.4.2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当前竞价交易阶段未成交的买卖申报，自动进入当日后续竞价交易阶段。</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4</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 xml:space="preserve">3 </w:t>
      </w:r>
      <w:r>
        <w:rPr>
          <w:color w:val="000000" w:themeColor="text1"/>
          <w:szCs w:val="32"/>
          <w14:textFill>
            <w14:solidFill>
              <w14:schemeClr w14:val="tx1"/>
            </w14:solidFill>
          </w14:textFill>
        </w:rPr>
        <w:t>经中国证监会批准，竞价交易可以引入做市商机制。</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第五节  成  交</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3.5.1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竞价交易按价格优先、时间优先的原则撮合成交。</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价格优先的原则为：较高价格买入申报优先于较低价格买入申报，较低价格卖出申报优先于较高价格卖出申报。</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时间优先的原则为：买卖方向、价格相同的，先申报者优先于后申报者，先后顺序按交易主机接受申报的时间确定。</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3.5.2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集合竞价时，成交价的确定原则为：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（一）可实现最大成交量；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（二）高于该价格的买入申报与低于该价格的卖出申报全部成交；</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（三）与该价格相同的买方或卖方至少有一方全部成交。</w:t>
      </w:r>
    </w:p>
    <w:p>
      <w:pPr>
        <w:autoSpaceDE w:val="0"/>
        <w:spacing w:line="600" w:lineRule="exact"/>
        <w:ind w:firstLine="640"/>
        <w:rPr>
          <w:strike/>
          <w:color w:val="000000" w:themeColor="text1"/>
          <w:szCs w:val="32"/>
          <w14:textFill>
            <w14:solidFill>
              <w14:schemeClr w14:val="tx1"/>
            </w14:solidFill>
          </w14:textFill>
        </w:rPr>
      </w:pPr>
      <w:r>
        <w:rPr>
          <w:color w:val="000000" w:themeColor="text1"/>
          <w:szCs w:val="32"/>
          <w14:textFill>
            <w14:solidFill>
              <w14:schemeClr w14:val="tx1"/>
            </w14:solidFill>
          </w14:textFill>
        </w:rPr>
        <w:t>两个以上价格符合上述条件的，取在该价格以上的买入申报累计数量与在该价格以下的卖出申报累计数量之差最小的价格为成交价。若买卖申报累计数量之差仍存在相等情况的，取最接近最近成交价的价格为成交价；当日无成交的，取最接近前收盘价的价格为成交价。</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集合竞价的所有交易以同一价格成交。</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3.5.3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连续竞价时，成交价的确定原则为：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（一）最高买入申报与最低卖出申报价格相同，以该价格为成交价；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（二）买入申报价格高于集中申报簿当时最低卖出申报价格时，以集中申报簿</w:t>
      </w:r>
      <w:r>
        <w:rPr>
          <w:rFonts w:hint="eastAsia"/>
          <w:color w:val="000000" w:themeColor="text1"/>
          <w:szCs w:val="32"/>
          <w14:textFill>
            <w14:solidFill>
              <w14:schemeClr w14:val="tx1"/>
            </w14:solidFill>
          </w14:textFill>
        </w:rPr>
        <w:t>当时的</w:t>
      </w:r>
      <w:r>
        <w:rPr>
          <w:color w:val="000000" w:themeColor="text1"/>
          <w:szCs w:val="32"/>
          <w14:textFill>
            <w14:solidFill>
              <w14:schemeClr w14:val="tx1"/>
            </w14:solidFill>
          </w14:textFill>
        </w:rPr>
        <w:t>最低卖出申报价格为成交价；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（三）卖出申报价格低于集中申报簿当时最高买入申报价格时，以集中申报簿</w:t>
      </w:r>
      <w:r>
        <w:rPr>
          <w:rFonts w:hint="eastAsia"/>
          <w:color w:val="000000" w:themeColor="text1"/>
          <w:szCs w:val="32"/>
          <w14:textFill>
            <w14:solidFill>
              <w14:schemeClr w14:val="tx1"/>
            </w14:solidFill>
          </w14:textFill>
        </w:rPr>
        <w:t>当时的</w:t>
      </w:r>
      <w:r>
        <w:rPr>
          <w:color w:val="000000" w:themeColor="text1"/>
          <w:szCs w:val="32"/>
          <w14:textFill>
            <w14:solidFill>
              <w14:schemeClr w14:val="tx1"/>
            </w14:solidFill>
          </w14:textFill>
        </w:rPr>
        <w:t>最高买入申报价格为成交价。</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3.5.4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买卖申报经交易主机撮合成交后，交易即告成立。按照本规则达成的交易于成立时生效，交易记录由本所发送至交易参与人。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因不可抗力、意外事件、交易系统被非法侵入等原因造成严重后果的交易，本所可以采取适当措施或认定无效。</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对显失公平的交易，经本所认定，可以采取适当措施。</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违反本规则，严重破坏证券市场正常运行的交易，本所有权宣布取消交易，由此造成的损失由违规交易者承担。</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3.5.5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按照本规则达成的交易，其成交结果以本所交易主机记录的成交数据为准。</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3.5.6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按照本规则达成的交易，买卖双方必须承认交易结果，履行清算交收义务。</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证券交易的清算交收业务，应当按照证券登记结算机构的规定办理。</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第六节  大宗交易</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股票交易单笔申报数量不低于10万股，或者交易金额不低于100万元人民币的，可以采用大宗交易方式。</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本所可以根据市场情况调整大宗交易的最低限额。</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投资者可以采用成交确认委托方式委托会员进行大宗交易。</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成交确认委托，是指投资者买卖双方达成成交协议，委托会员按其指定的价格和数量与指定对手方确认成交的指令。</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成交确认委托指令应包括证券账户号码、证券代码、买卖方向、委托数量、委托价格、成交约定号、对手方交易单元代码和对手方证券账户号码等内容。</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本所接受成交确认申报的时间为每个交易日的9:15至11:30、13:00至15:30。</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成交确认申报应包括证券账户号码、证券代码、交易单元代码、证券营业部识别码、买卖方向、申报数量、申报价格、成交约定号、对手方交易单元代码和对手方证券账户号码等内容。</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本所可以调整接受申报的时间。</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每个交易日的15:00至15:30为大宗交易的成交确认时间。</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3.6.5</w:t>
      </w:r>
      <w:r>
        <w:rPr>
          <w:rFonts w:hint="eastAsia"/>
          <w:color w:val="000000" w:themeColor="text1"/>
          <w:szCs w:val="32"/>
          <w14:textFill>
            <w14:solidFill>
              <w14:schemeClr w14:val="tx1"/>
            </w14:solidFill>
          </w14:textFill>
        </w:rPr>
        <w:t xml:space="preserve"> 有价格涨跌幅限制的股票，大宗交易的申报价格由买卖双方在当日价格涨跌幅限制范围内确定。</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无价格涨跌幅限制的股票，大宗交易的申报价格应当不高于该股票当日竞价交易实时成交均价的130%和已成交的最高价格中的孰低值，且不低于该股票当日竞价交易实时成交均价的70%和已成交的最低价格中的孰高值。</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均价的计算公式为：均价=已成交金额</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已成交股数。</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会员应当保证大宗交易参与者实际拥有与交易申报相对应的证券或资金。</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3.6.7</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本所对证券代码、申报价格和申报数量相同，买卖方向相反，指定对手方交易单元、证券账户号码相符及成交约定号一致的成交确认申报进行确认成交。</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3.6.8</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大宗交易不纳入即时行情和指数的计算，成交量在大宗交易结束后计入当日该证券成交总量。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3.6.9</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每个交易日结束后，本所公布当日每笔大宗交易成交信息，内容包括证券代码、证券简称、成交价格、成交数量、买卖双方会员证券营业部或交易单元的名称等。</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证券交易公开信息涉及机构专用交易单元的，公布名称为</w:t>
      </w:r>
      <w:r>
        <w:rPr>
          <w:rFonts w:ascii="仿宋" w:hAnsi="仿宋"/>
          <w:color w:val="000000" w:themeColor="text1"/>
          <w:szCs w:val="32"/>
          <w14:textFill>
            <w14:solidFill>
              <w14:schemeClr w14:val="tx1"/>
            </w14:solidFill>
          </w14:textFill>
        </w:rPr>
        <w:t>“机构专用”</w:t>
      </w:r>
      <w:r>
        <w:rPr>
          <w:color w:val="000000" w:themeColor="text1"/>
          <w:szCs w:val="32"/>
          <w14:textFill>
            <w14:solidFill>
              <w14:schemeClr w14:val="tx1"/>
            </w14:solidFill>
          </w14:textFill>
        </w:rPr>
        <w:t>。</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第七节  盘后固定价格交易</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3.7.1 盘后固定价格交易，是指在股票交易收盘后按照时间优先的原则，以当日收盘价对盘后固定价格买卖申报逐笔连续撮合的交易方式。</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3.7.2 每个交易日的</w:t>
      </w:r>
      <w:r>
        <w:rPr>
          <w:color w:val="000000" w:themeColor="text1"/>
          <w:szCs w:val="32"/>
          <w14:textFill>
            <w14:solidFill>
              <w14:schemeClr w14:val="tx1"/>
            </w14:solidFill>
          </w14:textFill>
        </w:rPr>
        <w:t>15</w:t>
      </w:r>
      <w:r>
        <w:rPr>
          <w:color w:val="000000" w:themeColor="text1"/>
          <w:szCs w:val="32"/>
          <w:lang w:val="en"/>
          <w14:textFill>
            <w14:solidFill>
              <w14:schemeClr w14:val="tx1"/>
            </w14:solidFill>
          </w14:textFill>
        </w:rPr>
        <w:t>:</w:t>
      </w:r>
      <w:r>
        <w:rPr>
          <w:color w:val="000000" w:themeColor="text1"/>
          <w:szCs w:val="32"/>
          <w14:textFill>
            <w14:solidFill>
              <w14:schemeClr w14:val="tx1"/>
            </w14:solidFill>
          </w14:textFill>
        </w:rPr>
        <w:t>05</w:t>
      </w:r>
      <w:r>
        <w:rPr>
          <w:rFonts w:hint="eastAsia"/>
          <w:color w:val="000000" w:themeColor="text1"/>
          <w:szCs w:val="32"/>
          <w14:textFill>
            <w14:solidFill>
              <w14:schemeClr w14:val="tx1"/>
            </w14:solidFill>
          </w14:textFill>
        </w:rPr>
        <w:t>至15</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30为盘后固定价格交易时间。当日15:00仍处于停牌状态的股票不进行盘后固定价格交易。</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盘后固定价格交易申报的时间为每个交易日9</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15至11</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30、13</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00至15</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30。</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接受申报的时间内，未成交的申报可以撤销。撤销指令经本所交易主机确认方为有效。</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盘后固定价格申报当日有效。</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3.7.3 投资者通过盘后固定价格交易买卖股票的，应当向会员提交盘后固定价格委托指令。盘后固定价格委托指令应当包括证券账户号码、证券代码、买卖方向、限价、委托数量等内容。</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3.7.4 会员等交易参与人的盘后固定价格申报指令应当包括证券账户号码、证券代码、交易单元代码、证券营业部识别码、买卖方向、限价、申报数量等内容。</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3.7.5 买入限价低于收盘价或卖出限价高于收盘价的盘后固定价格申报无效。</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3.7.6 通过盘后固定价格交易买卖股票的，单笔申报数量应当不低于100股。卖出股票时，余额不足100股的部分应当一次性申报卖出。</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盘后固定价格申报的单笔申报最大数量应当不超过100万股。</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3.7.7 盘后固定价格交易期间，本所以收盘价为成交价，按照时间优先原则对盘后固定价格申报进行逐笔连续撮合。</w:t>
      </w:r>
    </w:p>
    <w:p>
      <w:pPr>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3.7.8 每个交易日9</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15至15</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05，盘后固定价格申报不纳入即时行情；15</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05至15</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30，盘后固定价格申报及成交纳入即时行情。</w:t>
      </w:r>
    </w:p>
    <w:p>
      <w:pPr>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即时行情内容包括：证券代码、证券简称、收盘价、盘后固定价格交易当日累计成交数量、盘后固定价格交易当日累计成交金额以及买入或卖出的实时未成交申报数量。</w:t>
      </w:r>
    </w:p>
    <w:p>
      <w:pPr>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3.7.9 盘后固定价格交易成交量、成交金额在盘后固定价格交易结束后计入该股票当日总成交量、总成交金额。</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3.7.10 通过盘后固定价格交易减持股份的，视同通过竞价交易减持股份。</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第四章  其他交易事项</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第一节  开盘价与收盘价</w:t>
      </w:r>
    </w:p>
    <w:p>
      <w:pPr>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4.1.1</w:t>
      </w:r>
      <w:r>
        <w:rPr>
          <w:rFonts w:hint="eastAsia"/>
          <w:bCs/>
          <w:color w:val="000000" w:themeColor="text1"/>
          <w:szCs w:val="32"/>
          <w14:textFill>
            <w14:solidFill>
              <w14:schemeClr w14:val="tx1"/>
            </w14:solidFill>
          </w14:textFill>
        </w:rPr>
        <w:t xml:space="preserve"> 证券的开盘价为当日该证券竞价交易的第一笔成交价。</w:t>
      </w:r>
    </w:p>
    <w:p>
      <w:pPr>
        <w:autoSpaceDE w:val="0"/>
        <w:spacing w:line="600" w:lineRule="exact"/>
        <w:ind w:firstLine="640"/>
        <w:rPr>
          <w:color w:val="000000" w:themeColor="text1"/>
          <w:szCs w:val="32"/>
          <w14:textFill>
            <w14:solidFill>
              <w14:schemeClr w14:val="tx1"/>
            </w14:solidFill>
          </w14:textFill>
        </w:rPr>
      </w:pPr>
      <w:r>
        <w:rPr>
          <w:bCs/>
          <w:color w:val="000000" w:themeColor="text1"/>
          <w:szCs w:val="32"/>
          <w14:textFill>
            <w14:solidFill>
              <w14:schemeClr w14:val="tx1"/>
            </w14:solidFill>
          </w14:textFill>
        </w:rPr>
        <w:t>证券的开盘价通过集合竞价方式产生</w:t>
      </w:r>
      <w:r>
        <w:rPr>
          <w:rFonts w:hint="eastAsia"/>
          <w:bCs/>
          <w:color w:val="000000" w:themeColor="text1"/>
          <w:szCs w:val="32"/>
          <w14:textFill>
            <w14:solidFill>
              <w14:schemeClr w14:val="tx1"/>
            </w14:solidFill>
          </w14:textFill>
        </w:rPr>
        <w:t>，</w:t>
      </w:r>
      <w:r>
        <w:rPr>
          <w:bCs/>
          <w:color w:val="000000" w:themeColor="text1"/>
          <w:szCs w:val="32"/>
          <w14:textFill>
            <w14:solidFill>
              <w14:schemeClr w14:val="tx1"/>
            </w14:solidFill>
          </w14:textFill>
        </w:rPr>
        <w:t>不能通过集合竞价产生的，</w:t>
      </w:r>
      <w:r>
        <w:rPr>
          <w:rFonts w:hint="eastAsia"/>
          <w:bCs/>
          <w:color w:val="000000" w:themeColor="text1"/>
          <w:szCs w:val="32"/>
          <w14:textFill>
            <w14:solidFill>
              <w14:schemeClr w14:val="tx1"/>
            </w14:solidFill>
          </w14:textFill>
        </w:rPr>
        <w:t>以连续竞价方式产生</w:t>
      </w:r>
      <w:r>
        <w:rPr>
          <w:bCs/>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bCs/>
          <w:color w:val="000000" w:themeColor="text1"/>
          <w:szCs w:val="32"/>
          <w14:textFill>
            <w14:solidFill>
              <w14:schemeClr w14:val="tx1"/>
            </w14:solidFill>
          </w14:textFill>
        </w:rPr>
        <w:t>4.1.2</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除本所另有规定外，证券的</w:t>
      </w:r>
      <w:r>
        <w:rPr>
          <w:color w:val="000000" w:themeColor="text1"/>
          <w:szCs w:val="32"/>
          <w14:textFill>
            <w14:solidFill>
              <w14:schemeClr w14:val="tx1"/>
            </w14:solidFill>
          </w14:textFill>
        </w:rPr>
        <w:t>收盘价通过集合竞价</w:t>
      </w:r>
      <w:r>
        <w:rPr>
          <w:rFonts w:hint="eastAsia"/>
          <w:color w:val="000000" w:themeColor="text1"/>
          <w:szCs w:val="32"/>
          <w14:textFill>
            <w14:solidFill>
              <w14:schemeClr w14:val="tx1"/>
            </w14:solidFill>
          </w14:textFill>
        </w:rPr>
        <w:t>的</w:t>
      </w:r>
      <w:r>
        <w:rPr>
          <w:color w:val="000000" w:themeColor="text1"/>
          <w:szCs w:val="32"/>
          <w14:textFill>
            <w14:solidFill>
              <w14:schemeClr w14:val="tx1"/>
            </w14:solidFill>
          </w14:textFill>
        </w:rPr>
        <w:t>方式产生。收盘集合竞价不能产生收盘价或未进行收盘集合竞价的，以</w:t>
      </w:r>
      <w:r>
        <w:rPr>
          <w:rFonts w:hint="eastAsia"/>
          <w:color w:val="000000" w:themeColor="text1"/>
          <w:szCs w:val="32"/>
          <w14:textFill>
            <w14:solidFill>
              <w14:schemeClr w14:val="tx1"/>
            </w14:solidFill>
          </w14:textFill>
        </w:rPr>
        <w:t>当日该证券竞价交易</w:t>
      </w:r>
      <w:r>
        <w:rPr>
          <w:color w:val="000000" w:themeColor="text1"/>
          <w:szCs w:val="32"/>
          <w14:textFill>
            <w14:solidFill>
              <w14:schemeClr w14:val="tx1"/>
            </w14:solidFill>
          </w14:textFill>
        </w:rPr>
        <w:t>最后一笔成交价为收盘价。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当日无成交的，以前收盘价为当日收盘价。</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第二节  </w:t>
      </w:r>
      <w:r>
        <w:rPr>
          <w:rFonts w:ascii="Times New Roman" w:hAnsi="Times New Roman" w:eastAsia="楷体" w:cs="Times New Roman"/>
          <w:b w:val="0"/>
          <w:color w:val="000000" w:themeColor="text1"/>
          <w14:textFill>
            <w14:solidFill>
              <w14:schemeClr w14:val="tx1"/>
            </w14:solidFill>
          </w14:textFill>
        </w:rPr>
        <w:t>挂牌、摘牌、停牌与复牌</w:t>
      </w:r>
    </w:p>
    <w:p>
      <w:pPr>
        <w:pStyle w:val="33"/>
        <w:autoSpaceDE w:val="0"/>
        <w:spacing w:line="600" w:lineRule="exact"/>
        <w:ind w:firstLine="640"/>
        <w:rPr>
          <w:bCs/>
          <w:color w:val="000000" w:themeColor="text1"/>
          <w:szCs w:val="32"/>
          <w14:textFill>
            <w14:solidFill>
              <w14:schemeClr w14:val="tx1"/>
            </w14:solidFill>
          </w14:textFill>
        </w:rPr>
      </w:pPr>
      <w:r>
        <w:rPr>
          <w:bCs/>
          <w:color w:val="000000" w:themeColor="text1"/>
          <w:szCs w:val="32"/>
          <w14:textFill>
            <w14:solidFill>
              <w14:schemeClr w14:val="tx1"/>
            </w14:solidFill>
          </w14:textFill>
        </w:rPr>
        <w:t>4.2.1</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本所对上市证券实行挂牌交易。</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4.2.2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证券不再具备上市条件的，本所终止其上市交易，并予以摘牌。</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4.2.3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本所可以对出现异常交易情况的证券实施停牌并予以公告。</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具体停牌与复牌时间，以相关公告为准。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4.2.4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证券停牌时，本所发布的行情中包括该证券的信息；证券摘牌后，行情中无该证券的信息。</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4.2.5</w:t>
      </w:r>
      <w:r>
        <w:rPr>
          <w:rFonts w:hint="eastAsia"/>
          <w:color w:val="000000" w:themeColor="text1"/>
          <w:szCs w:val="32"/>
          <w14:textFill>
            <w14:solidFill>
              <w14:schemeClr w14:val="tx1"/>
            </w14:solidFill>
          </w14:textFill>
        </w:rPr>
        <w:t xml:space="preserve"> 本所</w:t>
      </w:r>
      <w:r>
        <w:rPr>
          <w:color w:val="000000" w:themeColor="text1"/>
          <w:szCs w:val="32"/>
          <w14:textFill>
            <w14:solidFill>
              <w14:schemeClr w14:val="tx1"/>
            </w14:solidFill>
          </w14:textFill>
        </w:rPr>
        <w:t>股票竞价交易出现下列情形之一的，本所实施盘中临时停牌</w:t>
      </w:r>
      <w:r>
        <w:rPr>
          <w:rFonts w:hint="eastAsia"/>
          <w:color w:val="000000" w:themeColor="text1"/>
          <w:szCs w:val="32"/>
          <w14:textFill>
            <w14:solidFill>
              <w14:schemeClr w14:val="tx1"/>
            </w14:solidFill>
          </w14:textFill>
        </w:rPr>
        <w:t>，单次盘中临时停牌时间为10分钟</w:t>
      </w:r>
      <w:r>
        <w:rPr>
          <w:color w:val="000000" w:themeColor="text1"/>
          <w:szCs w:val="32"/>
          <w14:textFill>
            <w14:solidFill>
              <w14:schemeClr w14:val="tx1"/>
            </w14:solidFill>
          </w14:textFill>
        </w:rPr>
        <w:t xml:space="preserve">： </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w:t>
      </w:r>
      <w:r>
        <w:rPr>
          <w:rFonts w:hint="eastAsia"/>
          <w:color w:val="000000" w:themeColor="text1"/>
          <w:szCs w:val="32"/>
          <w14:textFill>
            <w14:solidFill>
              <w14:schemeClr w14:val="tx1"/>
            </w14:solidFill>
          </w14:textFill>
        </w:rPr>
        <w:t>无价格涨跌幅限制的股票</w:t>
      </w:r>
      <w:r>
        <w:rPr>
          <w:color w:val="000000" w:themeColor="text1"/>
          <w:szCs w:val="32"/>
          <w14:textFill>
            <w14:solidFill>
              <w14:schemeClr w14:val="tx1"/>
            </w14:solidFill>
          </w14:textFill>
        </w:rPr>
        <w:t>盘中交易价格较当日开盘价首次上涨或下跌达到或超过30%的；</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w:t>
      </w:r>
      <w:r>
        <w:rPr>
          <w:rFonts w:hint="eastAsia"/>
          <w:color w:val="000000" w:themeColor="text1"/>
          <w:szCs w:val="32"/>
          <w14:textFill>
            <w14:solidFill>
              <w14:schemeClr w14:val="tx1"/>
            </w14:solidFill>
          </w14:textFill>
        </w:rPr>
        <w:t>无价格涨跌幅限制的股票</w:t>
      </w:r>
      <w:r>
        <w:rPr>
          <w:color w:val="000000" w:themeColor="text1"/>
          <w:szCs w:val="32"/>
          <w14:textFill>
            <w14:solidFill>
              <w14:schemeClr w14:val="tx1"/>
            </w14:solidFill>
          </w14:textFill>
        </w:rPr>
        <w:t>盘中交易价格较当日开盘价首次上涨或下跌达到或超过60%的</w:t>
      </w:r>
      <w:r>
        <w:rPr>
          <w:rFonts w:hint="eastAsia"/>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（三）中国证监会或者本所认定的其他情形。</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盘中临时停牌具体时间以本所公告为准</w:t>
      </w:r>
      <w:r>
        <w:rPr>
          <w:color w:val="000000" w:themeColor="text1"/>
          <w:szCs w:val="32"/>
          <w14:textFill>
            <w14:solidFill>
              <w14:schemeClr w14:val="tx1"/>
            </w14:solidFill>
          </w14:textFill>
        </w:rPr>
        <w:t>，停牌时间跨越14:57的，于14:57复牌并对已接受的申报进行复牌集合竞价，再进行收盘集合竞价。</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本所可以视盘中交易情况调整相关指标阈值，或采取进一步的盘中风险控制措施。</w:t>
      </w:r>
    </w:p>
    <w:p>
      <w:pPr>
        <w:autoSpaceDE w:val="0"/>
        <w:spacing w:line="600" w:lineRule="exact"/>
        <w:ind w:firstLine="640"/>
        <w:rPr>
          <w:color w:val="000000" w:themeColor="text1"/>
          <w:szCs w:val="32"/>
          <w14:textFill>
            <w14:solidFill>
              <w14:schemeClr w14:val="tx1"/>
            </w14:solidFill>
          </w14:textFill>
        </w:rPr>
      </w:pPr>
      <w:r>
        <w:rPr>
          <w:bCs/>
          <w:color w:val="000000" w:themeColor="text1"/>
          <w:szCs w:val="32"/>
          <w14:textFill>
            <w14:solidFill>
              <w14:schemeClr w14:val="tx1"/>
            </w14:solidFill>
          </w14:textFill>
        </w:rPr>
        <w:t>4.2.6</w:t>
      </w:r>
      <w:r>
        <w:rPr>
          <w:rFonts w:hint="eastAsia"/>
          <w:bCs/>
          <w:color w:val="000000" w:themeColor="text1"/>
          <w:szCs w:val="32"/>
          <w14:textFill>
            <w14:solidFill>
              <w14:schemeClr w14:val="tx1"/>
            </w14:solidFill>
          </w14:textFill>
        </w:rPr>
        <w:t xml:space="preserve"> </w:t>
      </w:r>
      <w:r>
        <w:rPr>
          <w:bCs/>
          <w:color w:val="000000" w:themeColor="text1"/>
          <w:szCs w:val="32"/>
          <w14:textFill>
            <w14:solidFill>
              <w14:schemeClr w14:val="tx1"/>
            </w14:solidFill>
          </w14:textFill>
        </w:rPr>
        <w:t>证券开市期间临时停牌的，停牌前</w:t>
      </w:r>
      <w:r>
        <w:rPr>
          <w:rFonts w:hint="eastAsia"/>
          <w:bCs/>
          <w:color w:val="000000" w:themeColor="text1"/>
          <w:szCs w:val="32"/>
          <w14:textFill>
            <w14:solidFill>
              <w14:schemeClr w14:val="tx1"/>
            </w14:solidFill>
          </w14:textFill>
        </w:rPr>
        <w:t>未成交</w:t>
      </w:r>
      <w:r>
        <w:rPr>
          <w:bCs/>
          <w:color w:val="000000" w:themeColor="text1"/>
          <w:szCs w:val="32"/>
          <w14:textFill>
            <w14:solidFill>
              <w14:schemeClr w14:val="tx1"/>
            </w14:solidFill>
          </w14:textFill>
        </w:rPr>
        <w:t>的申报参加当日该证券复牌后的交易。</w:t>
      </w:r>
    </w:p>
    <w:p>
      <w:pPr>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按照</w:t>
      </w:r>
      <w:r>
        <w:rPr>
          <w:bCs/>
          <w:color w:val="000000" w:themeColor="text1"/>
          <w:szCs w:val="32"/>
          <w14:textFill>
            <w14:solidFill>
              <w14:schemeClr w14:val="tx1"/>
            </w14:solidFill>
          </w14:textFill>
        </w:rPr>
        <w:t>本规则</w:t>
      </w:r>
      <w:r>
        <w:rPr>
          <w:rFonts w:hint="eastAsia"/>
          <w:bCs/>
          <w:color w:val="000000" w:themeColor="text1"/>
          <w:szCs w:val="32"/>
          <w14:textFill>
            <w14:solidFill>
              <w14:schemeClr w14:val="tx1"/>
            </w14:solidFill>
          </w14:textFill>
        </w:rPr>
        <w:t>第4.2.5条规定</w:t>
      </w:r>
      <w:r>
        <w:rPr>
          <w:bCs/>
          <w:color w:val="000000" w:themeColor="text1"/>
          <w:szCs w:val="32"/>
          <w14:textFill>
            <w14:solidFill>
              <w14:schemeClr w14:val="tx1"/>
            </w14:solidFill>
          </w14:textFill>
        </w:rPr>
        <w:t>临时停牌</w:t>
      </w:r>
      <w:r>
        <w:rPr>
          <w:rFonts w:hint="eastAsia"/>
          <w:bCs/>
          <w:color w:val="000000" w:themeColor="text1"/>
          <w:szCs w:val="32"/>
          <w14:textFill>
            <w14:solidFill>
              <w14:schemeClr w14:val="tx1"/>
            </w14:solidFill>
          </w14:textFill>
        </w:rPr>
        <w:t>的</w:t>
      </w:r>
      <w:r>
        <w:rPr>
          <w:bCs/>
          <w:color w:val="000000" w:themeColor="text1"/>
          <w:szCs w:val="32"/>
          <w14:textFill>
            <w14:solidFill>
              <w14:schemeClr w14:val="tx1"/>
            </w14:solidFill>
          </w14:textFill>
        </w:rPr>
        <w:t>，停牌期间可以申报，也可以撤销申报；复牌时对已接受的申报实行集合竞价，临时停牌期间不揭示集合竞价参考价、匹配量、未匹配量。</w:t>
      </w:r>
    </w:p>
    <w:p>
      <w:pPr>
        <w:autoSpaceDE w:val="0"/>
        <w:spacing w:line="600" w:lineRule="exact"/>
        <w:ind w:firstLine="640"/>
        <w:rPr>
          <w:bCs/>
          <w:color w:val="000000" w:themeColor="text1"/>
          <w:szCs w:val="32"/>
          <w14:textFill>
            <w14:solidFill>
              <w14:schemeClr w14:val="tx1"/>
            </w14:solidFill>
          </w14:textFill>
        </w:rPr>
      </w:pPr>
      <w:r>
        <w:rPr>
          <w:rFonts w:hint="eastAsia"/>
          <w:bCs/>
          <w:color w:val="000000" w:themeColor="text1"/>
          <w:szCs w:val="32"/>
          <w14:textFill>
            <w14:solidFill>
              <w14:schemeClr w14:val="tx1"/>
            </w14:solidFill>
          </w14:textFill>
        </w:rPr>
        <w:t>除前款规定</w:t>
      </w:r>
      <w:r>
        <w:rPr>
          <w:bCs/>
          <w:color w:val="000000" w:themeColor="text1"/>
          <w:szCs w:val="32"/>
          <w14:textFill>
            <w14:solidFill>
              <w14:schemeClr w14:val="tx1"/>
            </w14:solidFill>
          </w14:textFill>
        </w:rPr>
        <w:t>外</w:t>
      </w:r>
      <w:r>
        <w:rPr>
          <w:rFonts w:hint="eastAsia"/>
          <w:bCs/>
          <w:color w:val="000000" w:themeColor="text1"/>
          <w:szCs w:val="32"/>
          <w14:textFill>
            <w14:solidFill>
              <w14:schemeClr w14:val="tx1"/>
            </w14:solidFill>
          </w14:textFill>
        </w:rPr>
        <w:t>，证券开市</w:t>
      </w:r>
      <w:r>
        <w:rPr>
          <w:bCs/>
          <w:color w:val="000000" w:themeColor="text1"/>
          <w:szCs w:val="32"/>
          <w14:textFill>
            <w14:solidFill>
              <w14:schemeClr w14:val="tx1"/>
            </w14:solidFill>
          </w14:textFill>
        </w:rPr>
        <w:t>期间停牌</w:t>
      </w:r>
      <w:r>
        <w:rPr>
          <w:rFonts w:hint="eastAsia"/>
          <w:bCs/>
          <w:color w:val="000000" w:themeColor="text1"/>
          <w:szCs w:val="32"/>
          <w14:textFill>
            <w14:solidFill>
              <w14:schemeClr w14:val="tx1"/>
            </w14:solidFill>
          </w14:textFill>
        </w:rPr>
        <w:t>的，本所</w:t>
      </w:r>
      <w:r>
        <w:rPr>
          <w:bCs/>
          <w:color w:val="000000" w:themeColor="text1"/>
          <w:szCs w:val="32"/>
          <w14:textFill>
            <w14:solidFill>
              <w14:schemeClr w14:val="tx1"/>
            </w14:solidFill>
          </w14:textFill>
        </w:rPr>
        <w:t>不接受买卖</w:t>
      </w:r>
      <w:r>
        <w:rPr>
          <w:rFonts w:hint="eastAsia"/>
          <w:bCs/>
          <w:color w:val="000000" w:themeColor="text1"/>
          <w:szCs w:val="32"/>
          <w14:textFill>
            <w14:solidFill>
              <w14:schemeClr w14:val="tx1"/>
            </w14:solidFill>
          </w14:textFill>
        </w:rPr>
        <w:t>申报，但</w:t>
      </w:r>
      <w:r>
        <w:rPr>
          <w:bCs/>
          <w:color w:val="000000" w:themeColor="text1"/>
          <w:szCs w:val="32"/>
          <w14:textFill>
            <w14:solidFill>
              <w14:schemeClr w14:val="tx1"/>
            </w14:solidFill>
          </w14:textFill>
        </w:rPr>
        <w:t>可以撤销申报</w:t>
      </w:r>
      <w:r>
        <w:rPr>
          <w:rFonts w:hint="eastAsia"/>
          <w:bCs/>
          <w:color w:val="000000" w:themeColor="text1"/>
          <w:szCs w:val="32"/>
          <w14:textFill>
            <w14:solidFill>
              <w14:schemeClr w14:val="tx1"/>
            </w14:solidFill>
          </w14:textFill>
        </w:rPr>
        <w:t>。</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4.2.7</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证券的挂牌、摘牌、停牌与复牌，由本所予以公告。相关信息披露义务人应当按照本所的要求及时公告。</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4.2.8</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证券挂牌、摘牌、停牌与复牌的其他事宜，适用本所上市规则或其他有关业务规则。</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第三节  除权与除息</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4.3.1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上市证券发生权益分派、公积金转增股本、配股等情况，本所在权益登记日的次一交易日对该证券作除权除息处理，本所另有规定的除外。</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4.3.2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除权（息）参考价计算公式为：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除权（息）参考价=［（前收盘价-现金红利）+配股价格×股份变动比例］÷（1+股份变动比例）</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上市公司认为有必要调整上述计算公式时，可以向本所提出调整申请并说明理由。经本所同意的，上市公司应当向市场公布该次除权（息）适用的除权（息）参考价计算公式。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4.3.3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除权（息）日证券买卖，按除权（息）参考价作为计算涨跌幅度的基准，本所另有规定的除外。</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4.3.4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在除权（息）日，上市公司应变更证券简称，在简称前冠以</w:t>
      </w:r>
      <w:r>
        <w:rPr>
          <w:rFonts w:ascii="仿宋" w:hAnsi="仿宋"/>
          <w:color w:val="000000" w:themeColor="text1"/>
          <w:szCs w:val="32"/>
          <w14:textFill>
            <w14:solidFill>
              <w14:schemeClr w14:val="tx1"/>
            </w14:solidFill>
          </w14:textFill>
        </w:rPr>
        <w:t>“</w:t>
      </w:r>
      <w:r>
        <w:rPr>
          <w:color w:val="000000" w:themeColor="text1"/>
          <w:szCs w:val="32"/>
          <w14:textFill>
            <w14:solidFill>
              <w14:schemeClr w14:val="tx1"/>
            </w14:solidFill>
          </w14:textFill>
        </w:rPr>
        <w:t>XR</w:t>
      </w:r>
      <w:r>
        <w:rPr>
          <w:rFonts w:ascii="仿宋" w:hAnsi="仿宋"/>
          <w:color w:val="000000" w:themeColor="text1"/>
          <w:szCs w:val="32"/>
          <w14:textFill>
            <w14:solidFill>
              <w14:schemeClr w14:val="tx1"/>
            </w14:solidFill>
          </w14:textFill>
        </w:rPr>
        <w:t>”“</w:t>
      </w:r>
      <w:r>
        <w:rPr>
          <w:color w:val="000000" w:themeColor="text1"/>
          <w:szCs w:val="32"/>
          <w14:textFill>
            <w14:solidFill>
              <w14:schemeClr w14:val="tx1"/>
            </w14:solidFill>
          </w14:textFill>
        </w:rPr>
        <w:t>XD</w:t>
      </w:r>
      <w:r>
        <w:rPr>
          <w:rFonts w:ascii="仿宋" w:hAnsi="仿宋"/>
          <w:color w:val="000000" w:themeColor="text1"/>
          <w:szCs w:val="32"/>
          <w14:textFill>
            <w14:solidFill>
              <w14:schemeClr w14:val="tx1"/>
            </w14:solidFill>
          </w14:textFill>
        </w:rPr>
        <w:t>”“</w:t>
      </w:r>
      <w:r>
        <w:rPr>
          <w:color w:val="000000" w:themeColor="text1"/>
          <w:szCs w:val="32"/>
          <w14:textFill>
            <w14:solidFill>
              <w14:schemeClr w14:val="tx1"/>
            </w14:solidFill>
          </w14:textFill>
        </w:rPr>
        <w:t>DR</w:t>
      </w:r>
      <w:r>
        <w:rPr>
          <w:rFonts w:ascii="仿宋" w:hAnsi="仿宋"/>
          <w:color w:val="000000" w:themeColor="text1"/>
          <w:szCs w:val="32"/>
          <w14:textFill>
            <w14:solidFill>
              <w14:schemeClr w14:val="tx1"/>
            </w14:solidFill>
          </w14:textFill>
        </w:rPr>
        <w:t>”</w:t>
      </w:r>
      <w:r>
        <w:rPr>
          <w:color w:val="000000" w:themeColor="text1"/>
          <w:szCs w:val="32"/>
          <w14:textFill>
            <w14:solidFill>
              <w14:schemeClr w14:val="tx1"/>
            </w14:solidFill>
          </w14:textFill>
        </w:rPr>
        <w:t>等字样。</w:t>
      </w:r>
    </w:p>
    <w:p>
      <w:pPr>
        <w:autoSpaceDE w:val="0"/>
        <w:spacing w:line="600" w:lineRule="exact"/>
        <w:ind w:firstLine="640"/>
        <w:rPr>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w:t>
      </w:r>
      <w:r>
        <w:rPr>
          <w:color w:val="000000" w:themeColor="text1"/>
          <w:szCs w:val="32"/>
          <w14:textFill>
            <w14:solidFill>
              <w14:schemeClr w14:val="tx1"/>
            </w14:solidFill>
          </w14:textFill>
        </w:rPr>
        <w:t>XR</w:t>
      </w:r>
      <w:r>
        <w:rPr>
          <w:rFonts w:ascii="仿宋" w:hAnsi="仿宋"/>
          <w:color w:val="000000" w:themeColor="text1"/>
          <w:szCs w:val="32"/>
          <w14:textFill>
            <w14:solidFill>
              <w14:schemeClr w14:val="tx1"/>
            </w14:solidFill>
          </w14:textFill>
        </w:rPr>
        <w:t>”代表除权；“</w:t>
      </w:r>
      <w:r>
        <w:rPr>
          <w:color w:val="000000" w:themeColor="text1"/>
          <w:szCs w:val="32"/>
          <w14:textFill>
            <w14:solidFill>
              <w14:schemeClr w14:val="tx1"/>
            </w14:solidFill>
          </w14:textFill>
        </w:rPr>
        <w:t>XD</w:t>
      </w:r>
      <w:r>
        <w:rPr>
          <w:rFonts w:ascii="仿宋" w:hAnsi="仿宋"/>
          <w:color w:val="000000" w:themeColor="text1"/>
          <w:szCs w:val="32"/>
          <w14:textFill>
            <w14:solidFill>
              <w14:schemeClr w14:val="tx1"/>
            </w14:solidFill>
          </w14:textFill>
        </w:rPr>
        <w:t>”代表除息；“</w:t>
      </w:r>
      <w:r>
        <w:rPr>
          <w:color w:val="000000" w:themeColor="text1"/>
          <w:szCs w:val="32"/>
          <w14:textFill>
            <w14:solidFill>
              <w14:schemeClr w14:val="tx1"/>
            </w14:solidFill>
          </w14:textFill>
        </w:rPr>
        <w:t>DR</w:t>
      </w:r>
      <w:r>
        <w:rPr>
          <w:rFonts w:ascii="仿宋" w:hAnsi="仿宋"/>
          <w:color w:val="000000" w:themeColor="text1"/>
          <w:szCs w:val="32"/>
          <w14:textFill>
            <w14:solidFill>
              <w14:schemeClr w14:val="tx1"/>
            </w14:solidFill>
          </w14:textFill>
        </w:rPr>
        <w:t>”代</w:t>
      </w:r>
      <w:r>
        <w:rPr>
          <w:color w:val="000000" w:themeColor="text1"/>
          <w:szCs w:val="32"/>
          <w14:textFill>
            <w14:solidFill>
              <w14:schemeClr w14:val="tx1"/>
            </w14:solidFill>
          </w14:textFill>
        </w:rPr>
        <w:t>表除权并除息。</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第四节  转托管</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4.4.1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投资者可以以同一证券账户在单个或多个会员的不同证券营业部买入证券。</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4.4.2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投资者买入的证券可以通过原买入证券的交易单元委托卖出，也可以向原买入证券的交易单元发出转托管指令，转托管完成后，在转入的交易单元委托卖出。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转托管的具体规定，由证券登记结算机构制定。</w:t>
      </w:r>
    </w:p>
    <w:p>
      <w:pPr>
        <w:pStyle w:val="5"/>
        <w:keepNext w:val="0"/>
        <w:keepLines w:val="0"/>
        <w:autoSpaceDE w:val="0"/>
        <w:spacing w:before="240" w:after="240" w:line="600" w:lineRule="exact"/>
        <w:ind w:firstLine="0" w:firstLineChars="0"/>
        <w:jc w:val="center"/>
        <w:rPr>
          <w:rFonts w:hint="eastAsia"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第五节 </w:t>
      </w:r>
      <w:r>
        <w:rPr>
          <w:rFonts w:hint="eastAsia" w:ascii="Times New Roman" w:hAnsi="Times New Roman" w:eastAsia="楷体" w:cs="Times New Roman"/>
          <w:b w:val="0"/>
          <w:color w:val="000000" w:themeColor="text1"/>
          <w:lang w:val="en-US" w:eastAsia="zh-CN"/>
          <w14:textFill>
            <w14:solidFill>
              <w14:schemeClr w14:val="tx1"/>
            </w14:solidFill>
          </w14:textFill>
        </w:rPr>
        <w:t xml:space="preserve"> </w:t>
      </w:r>
      <w:r>
        <w:rPr>
          <w:rFonts w:hint="eastAsia" w:ascii="Times New Roman" w:hAnsi="Times New Roman" w:eastAsia="楷体" w:cs="Times New Roman"/>
          <w:b w:val="0"/>
          <w:color w:val="000000" w:themeColor="text1"/>
          <w14:textFill>
            <w14:solidFill>
              <w14:schemeClr w14:val="tx1"/>
            </w14:solidFill>
          </w14:textFill>
        </w:rPr>
        <w:t>风险警示股票及退市整理股票交易事项</w:t>
      </w:r>
    </w:p>
    <w:p>
      <w:pPr>
        <w:pStyle w:val="3"/>
        <w:spacing w:line="600" w:lineRule="exact"/>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4.5</w:t>
      </w:r>
      <w:r>
        <w:rPr>
          <w:color w:val="000000" w:themeColor="text1"/>
          <w:lang w:val="en"/>
          <w14:textFill>
            <w14:solidFill>
              <w14:schemeClr w14:val="tx1"/>
            </w14:solidFill>
          </w14:textFill>
        </w:rPr>
        <w:t>.1</w:t>
      </w:r>
      <w:r>
        <w:rPr>
          <w:rFonts w:hint="eastAsia"/>
          <w:color w:val="000000" w:themeColor="text1"/>
          <w14:textFill>
            <w14:solidFill>
              <w14:schemeClr w14:val="tx1"/>
            </w14:solidFill>
          </w14:textFill>
        </w:rPr>
        <w:t xml:space="preserve"> 按照本所上市规则被实施风险警示的股票（以下简称风险警示股票）、被本所作出终止上市决定但处于退市整理期尚未摘牌的股票（以下简称退市整理股票），其交易信息独立于其他股票的交易信息，予以分别揭示。会员应当对两类股票的交易信息予以相应独立显示。</w:t>
      </w:r>
    </w:p>
    <w:p>
      <w:pPr>
        <w:spacing w:line="600" w:lineRule="exact"/>
        <w:ind w:firstLine="640"/>
        <w:rPr>
          <w:bCs/>
          <w:color w:val="000000" w:themeColor="text1"/>
          <w:lang w:val="en"/>
          <w14:textFill>
            <w14:solidFill>
              <w14:schemeClr w14:val="tx1"/>
            </w14:solidFill>
          </w14:textFill>
        </w:rPr>
      </w:pPr>
      <w:r>
        <w:rPr>
          <w:rFonts w:hint="eastAsia"/>
          <w:color w:val="000000" w:themeColor="text1"/>
          <w14:textFill>
            <w14:solidFill>
              <w14:schemeClr w14:val="tx1"/>
            </w14:solidFill>
          </w14:textFill>
        </w:rPr>
        <w:t>4.5</w:t>
      </w:r>
      <w:r>
        <w:rPr>
          <w:color w:val="000000" w:themeColor="text1"/>
          <w:lang w:val="en"/>
          <w14:textFill>
            <w14:solidFill>
              <w14:schemeClr w14:val="tx1"/>
            </w14:solidFill>
          </w14:textFill>
        </w:rPr>
        <w:t>.</w:t>
      </w:r>
      <w:r>
        <w:rPr>
          <w:rFonts w:hint="eastAsia"/>
          <w:color w:val="000000" w:themeColor="text1"/>
          <w14:textFill>
            <w14:solidFill>
              <w14:schemeClr w14:val="tx1"/>
            </w14:solidFill>
          </w14:textFill>
        </w:rPr>
        <w:t xml:space="preserve">2 </w:t>
      </w:r>
      <w:r>
        <w:rPr>
          <w:rFonts w:hint="eastAsia"/>
          <w:bCs/>
          <w:color w:val="000000" w:themeColor="text1"/>
          <w:lang w:val="en"/>
          <w14:textFill>
            <w14:solidFill>
              <w14:schemeClr w14:val="tx1"/>
            </w14:solidFill>
          </w14:textFill>
        </w:rPr>
        <w:t>普通投资者首次买入风险警示股票或退市整理股票，应当以纸面或电子方式分别签署风险警示股票风险揭示书或退市整理股票风险揭示书。普通投资者未签署风险揭示书的，会员不得接受其买入委托。</w:t>
      </w:r>
    </w:p>
    <w:p>
      <w:pPr>
        <w:pStyle w:val="2"/>
        <w:spacing w:line="600" w:lineRule="exact"/>
        <w:ind w:firstLine="640"/>
        <w:rPr>
          <w:color w:val="000000" w:themeColor="text1"/>
          <w:lang w:val="en"/>
          <w14:textFill>
            <w14:solidFill>
              <w14:schemeClr w14:val="tx1"/>
            </w14:solidFill>
          </w14:textFill>
        </w:rPr>
      </w:pPr>
      <w:r>
        <w:rPr>
          <w:rFonts w:hint="eastAsia"/>
          <w:b w:val="0"/>
          <w:bCs/>
          <w:color w:val="000000" w:themeColor="text1"/>
          <w14:textFill>
            <w14:solidFill>
              <w14:schemeClr w14:val="tx1"/>
            </w14:solidFill>
          </w14:textFill>
        </w:rPr>
        <w:t>4</w:t>
      </w:r>
      <w:r>
        <w:rPr>
          <w:b w:val="0"/>
          <w:bCs/>
          <w:color w:val="000000" w:themeColor="text1"/>
          <w:lang w:val="en"/>
          <w14:textFill>
            <w14:solidFill>
              <w14:schemeClr w14:val="tx1"/>
            </w14:solidFill>
          </w14:textFill>
        </w:rPr>
        <w:t>.5.3</w:t>
      </w:r>
      <w:r>
        <w:rPr>
          <w:rFonts w:hint="eastAsia"/>
          <w:b w:val="0"/>
          <w:bCs/>
          <w:color w:val="000000" w:themeColor="text1"/>
          <w:lang w:val="en"/>
          <w14:textFill>
            <w14:solidFill>
              <w14:schemeClr w14:val="tx1"/>
            </w14:solidFill>
          </w14:textFill>
        </w:rPr>
        <w:t>会员应当通过其营业场所、公司网站、交易系统等多种渠道，重点揭示风险警示股票、退市整理股票的交易风险；对于退市整理股票，还应当在每个交易日的开市前向客户提示相关股票的剩余交易日等信息。</w:t>
      </w:r>
    </w:p>
    <w:p>
      <w:pPr>
        <w:pStyle w:val="3"/>
        <w:spacing w:line="600" w:lineRule="exact"/>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lang w:val="en"/>
          <w14:textFill>
            <w14:solidFill>
              <w14:schemeClr w14:val="tx1"/>
            </w14:solidFill>
          </w14:textFill>
        </w:rPr>
        <w:t>.5.</w:t>
      </w:r>
      <w:r>
        <w:rPr>
          <w:rFonts w:hint="eastAsia"/>
          <w:color w:val="000000" w:themeColor="text1"/>
          <w14:textFill>
            <w14:solidFill>
              <w14:schemeClr w14:val="tx1"/>
            </w14:solidFill>
          </w14:textFill>
        </w:rPr>
        <w:t>4</w:t>
      </w:r>
      <w:r>
        <w:rPr>
          <w:color w:val="000000" w:themeColor="text1"/>
          <w:lang w:val="en"/>
          <w14:textFill>
            <w14:solidFill>
              <w14:schemeClr w14:val="tx1"/>
            </w14:solidFill>
          </w14:textFill>
        </w:rPr>
        <w:t xml:space="preserve"> </w:t>
      </w:r>
      <w:r>
        <w:rPr>
          <w:rFonts w:hint="eastAsia"/>
          <w:color w:val="000000" w:themeColor="text1"/>
          <w:lang w:val="en"/>
          <w14:textFill>
            <w14:solidFill>
              <w14:schemeClr w14:val="tx1"/>
            </w14:solidFill>
          </w14:textFill>
        </w:rPr>
        <w:t>投资者当日通过竞价交易、大宗交易和盘后固定价格交易累计买入的单只风险警示股票，数量不得超过</w:t>
      </w:r>
      <w:r>
        <w:rPr>
          <w:rFonts w:hint="eastAsia"/>
          <w:color w:val="000000" w:themeColor="text1"/>
          <w14:textFill>
            <w14:solidFill>
              <w14:schemeClr w14:val="tx1"/>
            </w14:solidFill>
          </w14:textFill>
        </w:rPr>
        <w:t>20万股，本所另有规定的除外。</w:t>
      </w:r>
    </w:p>
    <w:p>
      <w:pPr>
        <w:pStyle w:val="3"/>
        <w:spacing w:line="600" w:lineRule="exact"/>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投资者当日累计买入风险警示股票数量，按照该投资者以本人名义开立的证券账户与融资融券信用证券账户的买入量合并计算；投资者委托买入数量与当日已买入数量及已申报买入但尚未成交、也未撤销的数量之和，不得超过20万股。上市公司回购股份、5%以上股东根据已披露的增持计划增持股份可不受前述20万股买入限制。</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会员应当采取有效措施，对投资者在该会员当日累计买入单只风险警示股票的数量进行监控；发现违反前款规定的，应当予以警示和制止，并及时向本所报告。</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4.5.5 股票退市整理期间，本所公布其当日买入、卖出金额最大的五家会员证券营业部或交易单元的名称及其各自的买入、卖出金额。</w:t>
      </w:r>
    </w:p>
    <w:p>
      <w:pPr>
        <w:pStyle w:val="2"/>
        <w:spacing w:line="600" w:lineRule="exact"/>
        <w:ind w:firstLine="640"/>
        <w:rPr>
          <w:color w:val="000000" w:themeColor="text1"/>
          <w14:textFill>
            <w14:solidFill>
              <w14:schemeClr w14:val="tx1"/>
            </w14:solidFill>
          </w14:textFill>
        </w:rPr>
      </w:pPr>
      <w:r>
        <w:rPr>
          <w:rFonts w:hint="eastAsia" w:ascii="Times New Roman" w:hAnsi="Times New Roman"/>
          <w:b w:val="0"/>
          <w:bCs/>
          <w:color w:val="000000" w:themeColor="text1"/>
          <w:szCs w:val="32"/>
          <w14:textFill>
            <w14:solidFill>
              <w14:schemeClr w14:val="tx1"/>
            </w14:solidFill>
          </w14:textFill>
        </w:rPr>
        <w:t>4</w:t>
      </w:r>
      <w:r>
        <w:rPr>
          <w:rFonts w:ascii="Times New Roman" w:hAnsi="Times New Roman"/>
          <w:b w:val="0"/>
          <w:bCs/>
          <w:color w:val="000000" w:themeColor="text1"/>
          <w:szCs w:val="32"/>
          <w:lang w:val="en"/>
          <w14:textFill>
            <w14:solidFill>
              <w14:schemeClr w14:val="tx1"/>
            </w14:solidFill>
          </w14:textFill>
        </w:rPr>
        <w:t>.5.</w:t>
      </w:r>
      <w:r>
        <w:rPr>
          <w:rFonts w:hint="eastAsia" w:ascii="Times New Roman" w:hAnsi="Times New Roman"/>
          <w:b w:val="0"/>
          <w:bCs/>
          <w:color w:val="000000" w:themeColor="text1"/>
          <w:szCs w:val="32"/>
          <w14:textFill>
            <w14:solidFill>
              <w14:schemeClr w14:val="tx1"/>
            </w14:solidFill>
          </w14:textFill>
        </w:rPr>
        <w:t>6</w:t>
      </w:r>
      <w:r>
        <w:rPr>
          <w:rFonts w:ascii="Times New Roman" w:hAnsi="Times New Roman"/>
          <w:b w:val="0"/>
          <w:bCs/>
          <w:color w:val="000000" w:themeColor="text1"/>
          <w:szCs w:val="32"/>
          <w:lang w:val="en"/>
          <w14:textFill>
            <w14:solidFill>
              <w14:schemeClr w14:val="tx1"/>
            </w14:solidFill>
          </w14:textFill>
        </w:rPr>
        <w:t xml:space="preserve"> </w:t>
      </w:r>
      <w:r>
        <w:rPr>
          <w:rFonts w:hint="eastAsia"/>
          <w:b w:val="0"/>
          <w:bCs/>
          <w:color w:val="000000" w:themeColor="text1"/>
          <w:szCs w:val="32"/>
          <w14:textFill>
            <w14:solidFill>
              <w14:schemeClr w14:val="tx1"/>
            </w14:solidFill>
          </w14:textFill>
        </w:rPr>
        <w:t>股票退市整理期间交易不纳入本所指数的计算，成交量计入当日市场成交总量。</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第五章  交易信息</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 xml:space="preserve">第一节  </w:t>
      </w:r>
      <w:r>
        <w:rPr>
          <w:rFonts w:ascii="Times New Roman" w:hAnsi="Times New Roman" w:eastAsia="楷体" w:cs="Times New Roman"/>
          <w:b w:val="0"/>
          <w:color w:val="000000" w:themeColor="text1"/>
          <w14:textFill>
            <w14:solidFill>
              <w14:schemeClr w14:val="tx1"/>
            </w14:solidFill>
          </w14:textFill>
        </w:rPr>
        <w:t>一般规定</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5.1.1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本所每个交易日发布证券交易即时行情、</w:t>
      </w:r>
      <w:r>
        <w:rPr>
          <w:rFonts w:hint="eastAsia"/>
          <w:color w:val="000000" w:themeColor="text1"/>
          <w:szCs w:val="32"/>
          <w14:textFill>
            <w14:solidFill>
              <w14:schemeClr w14:val="tx1"/>
            </w14:solidFill>
          </w14:textFill>
        </w:rPr>
        <w:t>证券指数、</w:t>
      </w:r>
      <w:r>
        <w:rPr>
          <w:color w:val="000000" w:themeColor="text1"/>
          <w:szCs w:val="32"/>
          <w14:textFill>
            <w14:solidFill>
              <w14:schemeClr w14:val="tx1"/>
            </w14:solidFill>
          </w14:textFill>
        </w:rPr>
        <w:t>证券交易公开信息等交易信息，及时编制反映市场交易情况的各类</w:t>
      </w:r>
      <w:r>
        <w:rPr>
          <w:rFonts w:hint="eastAsia"/>
          <w:color w:val="000000" w:themeColor="text1"/>
          <w:szCs w:val="32"/>
          <w14:textFill>
            <w14:solidFill>
              <w14:schemeClr w14:val="tx1"/>
            </w14:solidFill>
          </w14:textFill>
        </w:rPr>
        <w:t>日报表、周报表、月报表和年</w:t>
      </w:r>
      <w:r>
        <w:rPr>
          <w:color w:val="000000" w:themeColor="text1"/>
          <w:szCs w:val="32"/>
          <w14:textFill>
            <w14:solidFill>
              <w14:schemeClr w14:val="tx1"/>
            </w14:solidFill>
          </w14:textFill>
        </w:rPr>
        <w:t>报表，并通过符合《证券法》规定的信息披露平台予以公布。</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5.1.2</w:t>
      </w:r>
      <w:r>
        <w:rPr>
          <w:rFonts w:hint="eastAsia"/>
          <w:color w:val="000000" w:themeColor="text1"/>
          <w:szCs w:val="32"/>
          <w14:textFill>
            <w14:solidFill>
              <w14:schemeClr w14:val="tx1"/>
            </w14:solidFill>
          </w14:textFill>
        </w:rPr>
        <w:t xml:space="preserve"> 本所交易信息归本所所有。</w:t>
      </w:r>
      <w:r>
        <w:rPr>
          <w:color w:val="000000" w:themeColor="text1"/>
          <w:szCs w:val="32"/>
          <w14:textFill>
            <w14:solidFill>
              <w14:schemeClr w14:val="tx1"/>
            </w14:solidFill>
          </w14:textFill>
        </w:rPr>
        <w:t>未经本所许可，任何机构和个人不得发布、使用和传播交易信息。</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经本所许可使用交易信息的机构和个人，未经本所同意</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不得将交易信息提供给其他机构和个人使用或予以传播。</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第二节  即时行情</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5.2.1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每个交易日9:15至9:25开盘集合竞价期间、14:57至15:00收盘集合竞价期间，即时行情内容包括证券代码、证券简称、前收盘价、集合竞价参考价、匹配量和未匹配量等；若未产生集合竞价参考价的，则揭示实时最优1档申报价格和数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5.2.2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连续竞价期间，即时行情内容包括证券代码、证券简称、前收盘价、最近成交价、当日最高成交价、当日最低成交价、当日累计成交数量、当日累计成交金额、最高5个价位买入申报价格和数量、最低5个价位卖出申报价格和数量等。</w:t>
      </w:r>
    </w:p>
    <w:p>
      <w:pPr>
        <w:autoSpaceDE w:val="0"/>
        <w:spacing w:line="600" w:lineRule="exact"/>
        <w:ind w:firstLine="640"/>
        <w:rPr>
          <w:color w:val="000000" w:themeColor="text1"/>
          <w14:textFill>
            <w14:solidFill>
              <w14:schemeClr w14:val="tx1"/>
            </w14:solidFill>
          </w14:textFill>
        </w:rPr>
      </w:pPr>
      <w:r>
        <w:rPr>
          <w:color w:val="000000" w:themeColor="text1"/>
          <w:szCs w:val="32"/>
          <w14:textFill>
            <w14:solidFill>
              <w14:schemeClr w14:val="tx1"/>
            </w14:solidFill>
          </w14:textFill>
        </w:rPr>
        <w:t>5.2.3</w:t>
      </w:r>
      <w:r>
        <w:rPr>
          <w:rFonts w:hint="eastAsia"/>
          <w:color w:val="000000" w:themeColor="text1"/>
          <w:szCs w:val="32"/>
          <w14:textFill>
            <w14:solidFill>
              <w14:schemeClr w14:val="tx1"/>
            </w14:solidFill>
          </w14:textFill>
        </w:rPr>
        <w:t xml:space="preserve"> </w:t>
      </w:r>
      <w:r>
        <w:rPr>
          <w:rFonts w:hint="eastAsia"/>
          <w:color w:val="000000" w:themeColor="text1"/>
          <w14:textFill>
            <w14:solidFill>
              <w14:schemeClr w14:val="tx1"/>
            </w14:solidFill>
          </w14:textFill>
        </w:rPr>
        <w:t>即时行情显示的前收盘价为该证券上一交易日的收盘价，但下列情形的除外：</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14:textFill>
            <w14:solidFill>
              <w14:schemeClr w14:val="tx1"/>
            </w14:solidFill>
          </w14:textFill>
        </w:rPr>
        <w:t>（一）向不特定合格投资者公开发行的股票上市交易首日，</w:t>
      </w:r>
      <w:r>
        <w:rPr>
          <w:color w:val="000000" w:themeColor="text1"/>
          <w:szCs w:val="32"/>
          <w14:textFill>
            <w14:solidFill>
              <w14:schemeClr w14:val="tx1"/>
            </w14:solidFill>
          </w14:textFill>
        </w:rPr>
        <w:t>其即时行情显示的前收盘价为其发行价</w:t>
      </w:r>
      <w:r>
        <w:rPr>
          <w:rFonts w:hint="eastAsia"/>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（二）证券除权（息）日，其即时行情显示的前收盘价为该证券除权（息）参考价；</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（三）本所规定的其他情形。</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5.2.4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即时行情通过本所许可的通信系统传输，交易参与人应在本所许可的范围内使用。</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5.2.5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本所可以根据市场需要，调整即时行情的内容和发布方式。</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第三节  证券指数</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5.3.1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本所可以根据市场发展需要，编制综合指数、成份指数、分类指数等证券指数，</w:t>
      </w:r>
      <w:r>
        <w:rPr>
          <w:rFonts w:hint="eastAsia"/>
          <w:color w:val="000000" w:themeColor="text1"/>
          <w:szCs w:val="32"/>
          <w14:textFill>
            <w14:solidFill>
              <w14:schemeClr w14:val="tx1"/>
            </w14:solidFill>
          </w14:textFill>
        </w:rPr>
        <w:t>以反映证券交易总体价格或某类证券价格的变动和走势，</w:t>
      </w:r>
      <w:r>
        <w:rPr>
          <w:color w:val="000000" w:themeColor="text1"/>
          <w:szCs w:val="32"/>
          <w14:textFill>
            <w14:solidFill>
              <w14:schemeClr w14:val="tx1"/>
            </w14:solidFill>
          </w14:textFill>
        </w:rPr>
        <w:t>随即时行情发布。</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5.3.2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证券指数的设置和编制方法，由本所另行规定。</w:t>
      </w:r>
    </w:p>
    <w:p>
      <w:pPr>
        <w:pStyle w:val="5"/>
        <w:keepNext w:val="0"/>
        <w:keepLines w:val="0"/>
        <w:autoSpaceDE w:val="0"/>
        <w:spacing w:before="240" w:after="240" w:line="600" w:lineRule="exact"/>
        <w:ind w:firstLine="0" w:firstLineChars="0"/>
        <w:jc w:val="center"/>
        <w:rPr>
          <w:rFonts w:ascii="Times New Roman" w:hAnsi="Times New Roman" w:eastAsia="楷体" w:cs="Times New Roman"/>
          <w:b w:val="0"/>
          <w:color w:val="000000" w:themeColor="text1"/>
          <w14:textFill>
            <w14:solidFill>
              <w14:schemeClr w14:val="tx1"/>
            </w14:solidFill>
          </w14:textFill>
        </w:rPr>
      </w:pPr>
      <w:r>
        <w:rPr>
          <w:rFonts w:hint="eastAsia" w:ascii="Times New Roman" w:hAnsi="Times New Roman" w:eastAsia="楷体" w:cs="Times New Roman"/>
          <w:b w:val="0"/>
          <w:color w:val="000000" w:themeColor="text1"/>
          <w14:textFill>
            <w14:solidFill>
              <w14:schemeClr w14:val="tx1"/>
            </w14:solidFill>
          </w14:textFill>
        </w:rPr>
        <w:t>第四节  交易公开信息</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5.4.1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有价格涨跌幅限制的股票竞价交易属于下列情形之一的，本所分别公布相关股票当日买入、卖出金额最大5家会员证券营业部或交易单元的名称及其各自的买入、卖出金额：</w:t>
      </w:r>
    </w:p>
    <w:p>
      <w:pPr>
        <w:pStyle w:val="33"/>
        <w:numPr>
          <w:numId w:val="0"/>
        </w:numPr>
        <w:autoSpaceDE w:val="0"/>
        <w:spacing w:line="600" w:lineRule="exact"/>
        <w:ind w:leftChars="200"/>
        <w:rPr>
          <w:color w:val="000000" w:themeColor="text1"/>
          <w:szCs w:val="32"/>
          <w14:textFill>
            <w14:solidFill>
              <w14:schemeClr w14:val="tx1"/>
            </w14:solidFill>
          </w14:textFill>
        </w:rPr>
      </w:pPr>
      <w:r>
        <w:rPr>
          <w:rFonts w:hint="eastAsia"/>
          <w:color w:val="000000" w:themeColor="text1"/>
          <w:szCs w:val="32"/>
          <w:lang w:eastAsia="zh-CN"/>
          <w14:textFill>
            <w14:solidFill>
              <w14:schemeClr w14:val="tx1"/>
            </w14:solidFill>
          </w14:textFill>
        </w:rPr>
        <w:t>（一）</w:t>
      </w:r>
      <w:r>
        <w:rPr>
          <w:color w:val="000000" w:themeColor="text1"/>
          <w:szCs w:val="32"/>
          <w14:textFill>
            <w14:solidFill>
              <w14:schemeClr w14:val="tx1"/>
            </w14:solidFill>
          </w14:textFill>
        </w:rPr>
        <w:t>当日收盘价涨跌幅达到±20%的各前5只股票；</w:t>
      </w:r>
    </w:p>
    <w:p>
      <w:pPr>
        <w:pStyle w:val="33"/>
        <w:numPr>
          <w:numId w:val="0"/>
        </w:numPr>
        <w:autoSpaceDE w:val="0"/>
        <w:spacing w:line="600" w:lineRule="exact"/>
        <w:ind w:leftChars="200"/>
        <w:rPr>
          <w:color w:val="000000" w:themeColor="text1"/>
          <w:szCs w:val="32"/>
          <w14:textFill>
            <w14:solidFill>
              <w14:schemeClr w14:val="tx1"/>
            </w14:solidFill>
          </w14:textFill>
        </w:rPr>
      </w:pPr>
      <w:r>
        <w:rPr>
          <w:rFonts w:hint="eastAsia"/>
          <w:color w:val="000000" w:themeColor="text1"/>
          <w:szCs w:val="32"/>
          <w:lang w:eastAsia="zh-CN"/>
          <w14:textFill>
            <w14:solidFill>
              <w14:schemeClr w14:val="tx1"/>
            </w14:solidFill>
          </w14:textFill>
        </w:rPr>
        <w:t>（二）</w:t>
      </w:r>
      <w:r>
        <w:rPr>
          <w:color w:val="000000" w:themeColor="text1"/>
          <w:szCs w:val="32"/>
          <w14:textFill>
            <w14:solidFill>
              <w14:schemeClr w14:val="tx1"/>
            </w14:solidFill>
          </w14:textFill>
        </w:rPr>
        <w:t>当日价格振幅达到30%的前5只股票；</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价格振幅的计算公式为：价格振幅=（当日最高价-当日最低价）÷当日最低价×100%</w:t>
      </w:r>
    </w:p>
    <w:p>
      <w:pPr>
        <w:pStyle w:val="33"/>
        <w:numPr>
          <w:numId w:val="0"/>
        </w:numPr>
        <w:autoSpaceDE w:val="0"/>
        <w:spacing w:line="600" w:lineRule="exact"/>
        <w:ind w:leftChars="200"/>
        <w:rPr>
          <w:bCs/>
          <w:color w:val="000000" w:themeColor="text1"/>
          <w:szCs w:val="32"/>
          <w14:textFill>
            <w14:solidFill>
              <w14:schemeClr w14:val="tx1"/>
            </w14:solidFill>
          </w14:textFill>
        </w:rPr>
      </w:pPr>
      <w:r>
        <w:rPr>
          <w:rFonts w:hint="eastAsia"/>
          <w:color w:val="000000" w:themeColor="text1"/>
          <w:szCs w:val="32"/>
          <w:lang w:eastAsia="zh-CN"/>
          <w14:textFill>
            <w14:solidFill>
              <w14:schemeClr w14:val="tx1"/>
            </w14:solidFill>
          </w14:textFill>
        </w:rPr>
        <w:t>（三）</w:t>
      </w:r>
      <w:r>
        <w:rPr>
          <w:color w:val="000000" w:themeColor="text1"/>
          <w:szCs w:val="32"/>
          <w14:textFill>
            <w14:solidFill>
              <w14:schemeClr w14:val="tx1"/>
            </w14:solidFill>
          </w14:textFill>
        </w:rPr>
        <w:t>当日换手率达到20%的前5只股票；</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换手率的计算公式为：换手率=成交股数÷无限售条件股份总数×100%</w:t>
      </w:r>
    </w:p>
    <w:p>
      <w:pPr>
        <w:autoSpaceDE w:val="0"/>
        <w:spacing w:line="600" w:lineRule="exact"/>
        <w:ind w:firstLine="640"/>
        <w:rPr>
          <w:bCs/>
          <w:color w:val="000000" w:themeColor="text1"/>
          <w:szCs w:val="32"/>
          <w14:textFill>
            <w14:solidFill>
              <w14:schemeClr w14:val="tx1"/>
            </w14:solidFill>
          </w14:textFill>
        </w:rPr>
      </w:pPr>
      <w:r>
        <w:rPr>
          <w:color w:val="000000" w:themeColor="text1"/>
          <w:szCs w:val="32"/>
          <w14:textFill>
            <w14:solidFill>
              <w14:schemeClr w14:val="tx1"/>
            </w14:solidFill>
          </w14:textFill>
        </w:rPr>
        <w:t>收盘价涨跌幅、价格振幅或换手率相同的，依次按成交金额和成交量选取。</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股票竞价交易出现下列情形之一的，属于异常波动，本所公告</w:t>
      </w:r>
      <w:r>
        <w:rPr>
          <w:rFonts w:hint="eastAsia"/>
          <w:color w:val="000000" w:themeColor="text1"/>
          <w:szCs w:val="32"/>
          <w14:textFill>
            <w14:solidFill>
              <w14:schemeClr w14:val="tx1"/>
            </w14:solidFill>
          </w14:textFill>
        </w:rPr>
        <w:t>该</w:t>
      </w:r>
      <w:r>
        <w:rPr>
          <w:color w:val="000000" w:themeColor="text1"/>
          <w:szCs w:val="32"/>
          <w14:textFill>
            <w14:solidFill>
              <w14:schemeClr w14:val="tx1"/>
            </w14:solidFill>
          </w14:textFill>
        </w:rPr>
        <w:t>股票异常波动期间累计涨跌幅、成交量和成交金额，以及异常波动期间累计买入、卖出金额最大5家会员证券营业部或交易单元的名称及其各自的买入、卖出金额：</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w:t>
      </w:r>
      <w:r>
        <w:rPr>
          <w:rFonts w:hint="eastAsia" w:cs="仿宋"/>
          <w:color w:val="000000" w:themeColor="text1"/>
          <w:szCs w:val="21"/>
          <w14:textFill>
            <w14:solidFill>
              <w14:schemeClr w14:val="tx1"/>
            </w14:solidFill>
          </w14:textFill>
        </w:rPr>
        <w:t>连续3个交易日内日</w:t>
      </w:r>
      <w:r>
        <w:rPr>
          <w:color w:val="000000" w:themeColor="text1"/>
          <w:szCs w:val="32"/>
          <w14:textFill>
            <w14:solidFill>
              <w14:schemeClr w14:val="tx1"/>
            </w14:solidFill>
          </w14:textFill>
        </w:rPr>
        <w:t>收盘价涨跌幅偏离值累计达到±40%</w:t>
      </w:r>
      <w:r>
        <w:rPr>
          <w:rFonts w:hint="eastAsia"/>
          <w:color w:val="000000" w:themeColor="text1"/>
          <w:szCs w:val="32"/>
          <w14:textFill>
            <w14:solidFill>
              <w14:schemeClr w14:val="tx1"/>
            </w14:solidFill>
          </w14:textFill>
        </w:rPr>
        <w:t>的</w:t>
      </w:r>
      <w:r>
        <w:rPr>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（二）中国证监会或者本所认定属于异常波动的其他情形。</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w:t>
      </w:r>
      <w:r>
        <w:rPr>
          <w:rFonts w:hint="eastAsia"/>
          <w:color w:val="000000" w:themeColor="text1"/>
          <w:szCs w:val="32"/>
          <w14:textFill>
            <w14:solidFill>
              <w14:schemeClr w14:val="tx1"/>
            </w14:solidFill>
          </w14:textFill>
        </w:rPr>
        <w:t>3 股票竞价交易出现下列情形之一的，属于严重异常波动，本所公布相关股票严重异常波动期间的投资者分类交易统计等信息：</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（一）连续10个交易日内3次出现第5.4.2条第一项规定的同向异常波动情形；</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 xml:space="preserve">（二）连续10个交易日内日收盘价涨跌幅偏离值累计达到+150%（-60%）的； </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 xml:space="preserve">（三）连续30个交易日内日收盘价涨跌幅偏离值累计达到+300%（-75%）的； </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（四）中国证监会或者本所认定属于严重异常波动的其他情形。</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股票交易出现严重异常波动的多种情形的，本所一并予以公布。</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5.4.4</w:t>
      </w:r>
      <w:r>
        <w:rPr>
          <w:rFonts w:hint="eastAsia"/>
          <w:color w:val="000000" w:themeColor="text1"/>
          <w:szCs w:val="32"/>
          <w14:textFill>
            <w14:solidFill>
              <w14:schemeClr w14:val="tx1"/>
            </w14:solidFill>
          </w14:textFill>
        </w:rPr>
        <w:t xml:space="preserve"> 收盘价涨跌幅偏离值累计值的计算公式为：收盘价涨跌幅偏离值累计值=（单只股票期末收盘价/期初前收盘价-1）</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100%-（对应基准指数期末收盘点数/期初前收盘点数-1）</w:t>
      </w:r>
      <w:bookmarkStart w:id="1" w:name="_GoBack"/>
      <w:r>
        <w:rPr>
          <w:color w:val="000000" w:themeColor="text1"/>
          <w:szCs w:val="32"/>
          <w14:textFill>
            <w14:solidFill>
              <w14:schemeClr w14:val="tx1"/>
            </w14:solidFill>
          </w14:textFill>
        </w:rPr>
        <w:t>×</w:t>
      </w:r>
      <w:bookmarkEnd w:id="1"/>
      <w:r>
        <w:rPr>
          <w:rFonts w:hint="eastAsia"/>
          <w:color w:val="000000" w:themeColor="text1"/>
          <w:szCs w:val="32"/>
          <w14:textFill>
            <w14:solidFill>
              <w14:schemeClr w14:val="tx1"/>
            </w14:solidFill>
          </w14:textFill>
        </w:rPr>
        <w:t>100%。如期间内股票发生过除权除息，则对收盘价做相应调整。</w:t>
      </w:r>
    </w:p>
    <w:p>
      <w:pPr>
        <w:pStyle w:val="2"/>
        <w:spacing w:line="600" w:lineRule="exact"/>
        <w:ind w:firstLine="6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对应基准指数指本所编制的北证50成份指数。本所将根据市场发展情况，适时评估和调整上述基准指数，并向市场公告。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异常波动指标</w:t>
      </w:r>
      <w:r>
        <w:rPr>
          <w:rFonts w:hint="eastAsia"/>
          <w:color w:val="000000" w:themeColor="text1"/>
          <w:szCs w:val="32"/>
          <w14:textFill>
            <w14:solidFill>
              <w14:schemeClr w14:val="tx1"/>
            </w14:solidFill>
          </w14:textFill>
        </w:rPr>
        <w:t>和严重异常波动指标</w:t>
      </w:r>
      <w:r>
        <w:rPr>
          <w:color w:val="000000" w:themeColor="text1"/>
          <w:szCs w:val="32"/>
          <w14:textFill>
            <w14:solidFill>
              <w14:schemeClr w14:val="tx1"/>
            </w14:solidFill>
          </w14:textFill>
        </w:rPr>
        <w:t>自本所</w:t>
      </w:r>
      <w:r>
        <w:rPr>
          <w:rFonts w:hint="eastAsia"/>
          <w:color w:val="000000" w:themeColor="text1"/>
          <w:szCs w:val="32"/>
          <w14:textFill>
            <w14:solidFill>
              <w14:schemeClr w14:val="tx1"/>
            </w14:solidFill>
          </w14:textFill>
        </w:rPr>
        <w:t>公布的次一交易日或复牌</w:t>
      </w:r>
      <w:r>
        <w:rPr>
          <w:color w:val="000000" w:themeColor="text1"/>
          <w:szCs w:val="32"/>
          <w14:textFill>
            <w14:solidFill>
              <w14:schemeClr w14:val="tx1"/>
            </w14:solidFill>
          </w14:textFill>
        </w:rPr>
        <w:t>之日起重新计算。本所可以根据市场情况，调整异常波动</w:t>
      </w:r>
      <w:r>
        <w:rPr>
          <w:rFonts w:hint="eastAsia"/>
          <w:color w:val="000000" w:themeColor="text1"/>
          <w:szCs w:val="32"/>
          <w14:textFill>
            <w14:solidFill>
              <w14:schemeClr w14:val="tx1"/>
            </w14:solidFill>
          </w14:textFill>
        </w:rPr>
        <w:t>和严重异常波动</w:t>
      </w:r>
      <w:r>
        <w:rPr>
          <w:color w:val="000000" w:themeColor="text1"/>
          <w:szCs w:val="32"/>
          <w14:textFill>
            <w14:solidFill>
              <w14:schemeClr w14:val="tx1"/>
            </w14:solidFill>
          </w14:textFill>
        </w:rPr>
        <w:t>的认定标准。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无价格涨跌幅限制的股票不纳入异常波动指标</w:t>
      </w:r>
      <w:r>
        <w:rPr>
          <w:rFonts w:hint="eastAsia"/>
          <w:color w:val="000000" w:themeColor="text1"/>
          <w:szCs w:val="32"/>
          <w14:textFill>
            <w14:solidFill>
              <w14:schemeClr w14:val="tx1"/>
            </w14:solidFill>
          </w14:textFill>
        </w:rPr>
        <w:t>和严重异常波动指标</w:t>
      </w:r>
      <w:r>
        <w:rPr>
          <w:color w:val="000000" w:themeColor="text1"/>
          <w:szCs w:val="32"/>
          <w14:textFill>
            <w14:solidFill>
              <w14:schemeClr w14:val="tx1"/>
            </w14:solidFill>
          </w14:textFill>
        </w:rPr>
        <w:t>的计算。</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5.4.6 股票交易出现严重异常波动情形的，上市公司应当按照本所上市规则规定及时予以核查并采取相应措施。</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经上市公司核查后无应披露未披露重大事项，也无法对异常波动原因作出合理解释的，除按照本所上市规则规定处理外，本所可根据市场情况，加强异常交易监控，并要求会员采取有效措施向客户提示风险。</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w:t>
      </w:r>
      <w:r>
        <w:rPr>
          <w:rFonts w:hint="eastAsia"/>
          <w:color w:val="000000" w:themeColor="text1"/>
          <w:szCs w:val="32"/>
          <w14:textFill>
            <w14:solidFill>
              <w14:schemeClr w14:val="tx1"/>
            </w14:solidFill>
          </w14:textFill>
        </w:rPr>
        <w:t xml:space="preserve">7 </w:t>
      </w:r>
      <w:r>
        <w:rPr>
          <w:color w:val="000000" w:themeColor="text1"/>
          <w:szCs w:val="32"/>
          <w14:textFill>
            <w14:solidFill>
              <w14:schemeClr w14:val="tx1"/>
            </w14:solidFill>
          </w14:textFill>
        </w:rPr>
        <w:t>本所可以根据市场需要，调整证券交易公开信息的内容和发布方式。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5.4.</w:t>
      </w:r>
      <w:r>
        <w:rPr>
          <w:rFonts w:hint="eastAsia"/>
          <w:color w:val="000000" w:themeColor="text1"/>
          <w:szCs w:val="32"/>
          <w14:textFill>
            <w14:solidFill>
              <w14:schemeClr w14:val="tx1"/>
            </w14:solidFill>
          </w14:textFill>
        </w:rPr>
        <w:t xml:space="preserve">8 </w:t>
      </w:r>
      <w:r>
        <w:rPr>
          <w:color w:val="000000" w:themeColor="text1"/>
          <w:szCs w:val="32"/>
          <w14:textFill>
            <w14:solidFill>
              <w14:schemeClr w14:val="tx1"/>
            </w14:solidFill>
          </w14:textFill>
        </w:rPr>
        <w:t>证券交易公开信息涉及机构专用交易单元的，公布名称为</w:t>
      </w:r>
      <w:r>
        <w:rPr>
          <w:rFonts w:ascii="仿宋" w:hAnsi="仿宋"/>
          <w:color w:val="000000" w:themeColor="text1"/>
          <w:szCs w:val="32"/>
          <w14:textFill>
            <w14:solidFill>
              <w14:schemeClr w14:val="tx1"/>
            </w14:solidFill>
          </w14:textFill>
        </w:rPr>
        <w:t>“机构专用”</w:t>
      </w:r>
      <w:r>
        <w:rPr>
          <w:color w:val="000000" w:themeColor="text1"/>
          <w:szCs w:val="32"/>
          <w14:textFill>
            <w14:solidFill>
              <w14:schemeClr w14:val="tx1"/>
            </w14:solidFill>
          </w14:textFill>
        </w:rPr>
        <w:t>。</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 xml:space="preserve">第六章  </w:t>
      </w:r>
      <w:r>
        <w:rPr>
          <w:rFonts w:hint="eastAsia"/>
          <w:color w:val="000000" w:themeColor="text1"/>
          <w14:textFill>
            <w14:solidFill>
              <w14:schemeClr w14:val="tx1"/>
            </w14:solidFill>
          </w14:textFill>
        </w:rPr>
        <w:t>证券交易</w:t>
      </w:r>
      <w:r>
        <w:rPr>
          <w:color w:val="000000" w:themeColor="text1"/>
          <w14:textFill>
            <w14:solidFill>
              <w14:schemeClr w14:val="tx1"/>
            </w14:solidFill>
          </w14:textFill>
        </w:rPr>
        <w:t>监督</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本所对证券交易中的下列事项，予以重点监控：</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（一）涉嫌内幕交易、</w:t>
      </w:r>
      <w:r>
        <w:rPr>
          <w:rFonts w:hint="eastAsia"/>
          <w:color w:val="000000" w:themeColor="text1"/>
          <w:szCs w:val="32"/>
          <w14:textFill>
            <w14:solidFill>
              <w14:schemeClr w14:val="tx1"/>
            </w14:solidFill>
          </w14:textFill>
        </w:rPr>
        <w:t>利用未公开信息交易、</w:t>
      </w:r>
      <w:r>
        <w:rPr>
          <w:color w:val="000000" w:themeColor="text1"/>
          <w:szCs w:val="32"/>
          <w14:textFill>
            <w14:solidFill>
              <w14:schemeClr w14:val="tx1"/>
            </w14:solidFill>
          </w14:textFill>
        </w:rPr>
        <w:t>操纵市场等违法违规行为；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二</w:t>
      </w:r>
      <w:r>
        <w:rPr>
          <w:color w:val="000000" w:themeColor="text1"/>
          <w:szCs w:val="32"/>
          <w14:textFill>
            <w14:solidFill>
              <w14:schemeClr w14:val="tx1"/>
            </w14:solidFill>
          </w14:textFill>
        </w:rPr>
        <w:t>）证券买卖的范围、时间、数量、方式等受到法律法规、部门规章及本所业务规则</w:t>
      </w:r>
      <w:r>
        <w:rPr>
          <w:rFonts w:hint="eastAsia"/>
          <w:color w:val="000000" w:themeColor="text1"/>
          <w:szCs w:val="32"/>
          <w14:textFill>
            <w14:solidFill>
              <w14:schemeClr w14:val="tx1"/>
            </w14:solidFill>
          </w14:textFill>
        </w:rPr>
        <w:t>等相关规定</w:t>
      </w:r>
      <w:r>
        <w:rPr>
          <w:color w:val="000000" w:themeColor="text1"/>
          <w:szCs w:val="32"/>
          <w14:textFill>
            <w14:solidFill>
              <w14:schemeClr w14:val="tx1"/>
            </w14:solidFill>
          </w14:textFill>
        </w:rPr>
        <w:t>限制的行为；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三</w:t>
      </w:r>
      <w:r>
        <w:rPr>
          <w:color w:val="000000" w:themeColor="text1"/>
          <w:szCs w:val="32"/>
          <w14:textFill>
            <w14:solidFill>
              <w14:schemeClr w14:val="tx1"/>
            </w14:solidFill>
          </w14:textFill>
        </w:rPr>
        <w:t>）可能影响证券交易价格或者证券</w:t>
      </w:r>
      <w:r>
        <w:rPr>
          <w:rFonts w:hint="eastAsia"/>
          <w:color w:val="000000" w:themeColor="text1"/>
          <w:szCs w:val="32"/>
          <w14:textFill>
            <w14:solidFill>
              <w14:schemeClr w14:val="tx1"/>
            </w14:solidFill>
          </w14:textFill>
        </w:rPr>
        <w:t>交易</w:t>
      </w:r>
      <w:r>
        <w:rPr>
          <w:color w:val="000000" w:themeColor="text1"/>
          <w:szCs w:val="32"/>
          <w14:textFill>
            <w14:solidFill>
              <w14:schemeClr w14:val="tx1"/>
            </w14:solidFill>
          </w14:textFill>
        </w:rPr>
        <w:t>量的异常交易行为；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四</w:t>
      </w:r>
      <w:r>
        <w:rPr>
          <w:color w:val="000000" w:themeColor="text1"/>
          <w:szCs w:val="32"/>
          <w14:textFill>
            <w14:solidFill>
              <w14:schemeClr w14:val="tx1"/>
            </w14:solidFill>
          </w14:textFill>
        </w:rPr>
        <w:t>）证券交易价格或者证券</w:t>
      </w:r>
      <w:r>
        <w:rPr>
          <w:rFonts w:hint="eastAsia"/>
          <w:color w:val="000000" w:themeColor="text1"/>
          <w:szCs w:val="32"/>
          <w14:textFill>
            <w14:solidFill>
              <w14:schemeClr w14:val="tx1"/>
            </w14:solidFill>
          </w14:textFill>
        </w:rPr>
        <w:t>交易</w:t>
      </w:r>
      <w:r>
        <w:rPr>
          <w:color w:val="000000" w:themeColor="text1"/>
          <w:szCs w:val="32"/>
          <w14:textFill>
            <w14:solidFill>
              <w14:schemeClr w14:val="tx1"/>
            </w14:solidFill>
          </w14:textFill>
        </w:rPr>
        <w:t>量明显异常的情形；</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（五）</w:t>
      </w:r>
      <w:r>
        <w:rPr>
          <w:rFonts w:hint="eastAsia"/>
          <w:color w:val="000000" w:themeColor="text1"/>
          <w:szCs w:val="32"/>
          <w14:textFill>
            <w14:solidFill>
              <w14:schemeClr w14:val="tx1"/>
            </w14:solidFill>
          </w14:textFill>
        </w:rPr>
        <w:t>中国证监会</w:t>
      </w:r>
      <w:r>
        <w:rPr>
          <w:color w:val="000000" w:themeColor="text1"/>
          <w:szCs w:val="32"/>
          <w14:textFill>
            <w14:solidFill>
              <w14:schemeClr w14:val="tx1"/>
            </w14:solidFill>
          </w14:textFill>
        </w:rPr>
        <w:t>或者本所认为需要重点监控的其他事项。</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可能影响证券交易价格或者证券</w:t>
      </w:r>
      <w:r>
        <w:rPr>
          <w:rFonts w:hint="eastAsia"/>
          <w:color w:val="000000" w:themeColor="text1"/>
          <w:szCs w:val="32"/>
          <w14:textFill>
            <w14:solidFill>
              <w14:schemeClr w14:val="tx1"/>
            </w14:solidFill>
          </w14:textFill>
        </w:rPr>
        <w:t>交易</w:t>
      </w:r>
      <w:r>
        <w:rPr>
          <w:color w:val="000000" w:themeColor="text1"/>
          <w:szCs w:val="32"/>
          <w14:textFill>
            <w14:solidFill>
              <w14:schemeClr w14:val="tx1"/>
            </w14:solidFill>
          </w14:textFill>
        </w:rPr>
        <w:t>量的异常交易行为包括：</w:t>
      </w:r>
    </w:p>
    <w:p>
      <w:pPr>
        <w:spacing w:line="600" w:lineRule="exact"/>
        <w:ind w:firstLine="640"/>
        <w:rPr>
          <w:rFonts w:cs="仿宋"/>
          <w:color w:val="000000" w:themeColor="text1"/>
          <w:szCs w:val="21"/>
          <w14:textFill>
            <w14:solidFill>
              <w14:schemeClr w14:val="tx1"/>
            </w14:solidFill>
          </w14:textFill>
        </w:rPr>
      </w:pPr>
      <w:r>
        <w:rPr>
          <w:rFonts w:hint="eastAsia" w:cs="仿宋"/>
          <w:color w:val="000000" w:themeColor="text1"/>
          <w:szCs w:val="21"/>
          <w14:textFill>
            <w14:solidFill>
              <w14:schemeClr w14:val="tx1"/>
            </w14:solidFill>
          </w14:textFill>
        </w:rPr>
        <w:t>（一）虚假申报，即不以成交为目的，通过大量申报并撤销等行为，以引诱、误导或者影响其他投资者正常交易决策；</w:t>
      </w:r>
    </w:p>
    <w:p>
      <w:pPr>
        <w:spacing w:line="600" w:lineRule="exact"/>
        <w:ind w:firstLine="640"/>
        <w:rPr>
          <w:rFonts w:cs="仿宋"/>
          <w:color w:val="000000" w:themeColor="text1"/>
          <w:szCs w:val="21"/>
          <w14:textFill>
            <w14:solidFill>
              <w14:schemeClr w14:val="tx1"/>
            </w14:solidFill>
          </w14:textFill>
        </w:rPr>
      </w:pPr>
      <w:r>
        <w:rPr>
          <w:rFonts w:hint="eastAsia" w:cs="仿宋"/>
          <w:color w:val="000000" w:themeColor="text1"/>
          <w:szCs w:val="21"/>
          <w14:textFill>
            <w14:solidFill>
              <w14:schemeClr w14:val="tx1"/>
            </w14:solidFill>
          </w14:textFill>
        </w:rPr>
        <w:t>（二）拉抬打压，即大笔申报、连续申报、密集申报或者以明显偏离证券最新成交价的价格申报成交，期间证券交易价格明显上涨或者下跌；</w:t>
      </w:r>
    </w:p>
    <w:p>
      <w:pPr>
        <w:spacing w:line="600" w:lineRule="exact"/>
        <w:ind w:firstLine="640"/>
        <w:rPr>
          <w:rFonts w:cs="仿宋"/>
          <w:color w:val="000000" w:themeColor="text1"/>
          <w:szCs w:val="21"/>
          <w14:textFill>
            <w14:solidFill>
              <w14:schemeClr w14:val="tx1"/>
            </w14:solidFill>
          </w14:textFill>
        </w:rPr>
      </w:pPr>
      <w:r>
        <w:rPr>
          <w:rFonts w:hint="eastAsia" w:cs="仿宋"/>
          <w:color w:val="000000" w:themeColor="text1"/>
          <w:szCs w:val="21"/>
          <w14:textFill>
            <w14:solidFill>
              <w14:schemeClr w14:val="tx1"/>
            </w14:solidFill>
          </w14:textFill>
        </w:rPr>
        <w:t>（三）维持涨（跌）幅限制价格，即通过大笔申报、连续申报、密集申报，维持证券交易价格处于涨（跌）幅限制状态；</w:t>
      </w:r>
    </w:p>
    <w:p>
      <w:pPr>
        <w:spacing w:line="600" w:lineRule="exact"/>
        <w:ind w:firstLine="640"/>
        <w:rPr>
          <w:rFonts w:cs="仿宋"/>
          <w:color w:val="000000" w:themeColor="text1"/>
          <w:szCs w:val="21"/>
          <w14:textFill>
            <w14:solidFill>
              <w14:schemeClr w14:val="tx1"/>
            </w14:solidFill>
          </w14:textFill>
        </w:rPr>
      </w:pPr>
      <w:r>
        <w:rPr>
          <w:rFonts w:hint="eastAsia" w:cs="仿宋"/>
          <w:color w:val="000000" w:themeColor="text1"/>
          <w:szCs w:val="21"/>
          <w14:textFill>
            <w14:solidFill>
              <w14:schemeClr w14:val="tx1"/>
            </w14:solidFill>
          </w14:textFill>
        </w:rPr>
        <w:t>（四）单个账户、自己实际控制的账户之间或者涉嫌关联账户之间大量或者频繁进行自买自卖、互为对手方的交易或者反向交易；</w:t>
      </w:r>
    </w:p>
    <w:p>
      <w:pPr>
        <w:spacing w:line="600" w:lineRule="exact"/>
        <w:ind w:firstLine="640"/>
        <w:rPr>
          <w:rFonts w:cs="仿宋"/>
          <w:bCs/>
          <w:color w:val="000000" w:themeColor="text1"/>
          <w:szCs w:val="21"/>
          <w14:textFill>
            <w14:solidFill>
              <w14:schemeClr w14:val="tx1"/>
            </w14:solidFill>
          </w14:textFill>
        </w:rPr>
      </w:pPr>
      <w:r>
        <w:rPr>
          <w:rFonts w:hint="eastAsia" w:cs="仿宋"/>
          <w:bCs/>
          <w:color w:val="000000" w:themeColor="text1"/>
          <w:szCs w:val="21"/>
          <w14:textFill>
            <w14:solidFill>
              <w14:schemeClr w14:val="tx1"/>
            </w14:solidFill>
          </w14:textFill>
        </w:rPr>
        <w:t>（五）通过大笔申报、连续申报、密集申报或者以明显偏离合理价值的价格申报，意图加剧证券价格异常波动或者影响本所正常交易秩序；</w:t>
      </w:r>
    </w:p>
    <w:p>
      <w:pPr>
        <w:spacing w:line="600" w:lineRule="exact"/>
        <w:ind w:firstLine="640"/>
        <w:rPr>
          <w:rFonts w:cs="仿宋"/>
          <w:bCs/>
          <w:color w:val="000000" w:themeColor="text1"/>
          <w:szCs w:val="21"/>
          <w14:textFill>
            <w14:solidFill>
              <w14:schemeClr w14:val="tx1"/>
            </w14:solidFill>
          </w14:textFill>
        </w:rPr>
      </w:pPr>
      <w:r>
        <w:rPr>
          <w:rFonts w:hint="eastAsia" w:cs="仿宋"/>
          <w:bCs/>
          <w:color w:val="000000" w:themeColor="text1"/>
          <w:szCs w:val="21"/>
          <w14:textFill>
            <w14:solidFill>
              <w14:schemeClr w14:val="tx1"/>
            </w14:solidFill>
          </w14:textFill>
        </w:rPr>
        <w:t>（六）通过计算机程序自动生成或者下达交易指令进行程序化交易，影响本所系统安全或者正常交易秩序；</w:t>
      </w:r>
    </w:p>
    <w:p>
      <w:pPr>
        <w:spacing w:line="600" w:lineRule="exact"/>
        <w:ind w:firstLine="640"/>
        <w:rPr>
          <w:rFonts w:cs="仿宋"/>
          <w:color w:val="000000" w:themeColor="text1"/>
          <w:szCs w:val="21"/>
          <w14:textFill>
            <w14:solidFill>
              <w14:schemeClr w14:val="tx1"/>
            </w14:solidFill>
          </w14:textFill>
        </w:rPr>
      </w:pPr>
      <w:r>
        <w:rPr>
          <w:rFonts w:hint="eastAsia" w:cs="仿宋"/>
          <w:color w:val="000000" w:themeColor="text1"/>
          <w:szCs w:val="21"/>
          <w14:textFill>
            <w14:solidFill>
              <w14:schemeClr w14:val="tx1"/>
            </w14:solidFill>
          </w14:textFill>
        </w:rPr>
        <w:t>（七）交易价格明显偏离合理价值，涉嫌通过证券交易进行利益输送；</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八</w:t>
      </w:r>
      <w:r>
        <w:rPr>
          <w:color w:val="000000" w:themeColor="text1"/>
          <w:szCs w:val="32"/>
          <w14:textFill>
            <w14:solidFill>
              <w14:schemeClr w14:val="tx1"/>
            </w14:solidFill>
          </w14:textFill>
        </w:rPr>
        <w:t>）对单一证券在一段时期内进行大量且连续</w:t>
      </w:r>
      <w:r>
        <w:rPr>
          <w:rFonts w:hint="eastAsia"/>
          <w:color w:val="000000" w:themeColor="text1"/>
          <w:szCs w:val="32"/>
          <w14:textFill>
            <w14:solidFill>
              <w14:schemeClr w14:val="tx1"/>
            </w14:solidFill>
          </w14:textFill>
        </w:rPr>
        <w:t>的</w:t>
      </w:r>
      <w:r>
        <w:rPr>
          <w:color w:val="000000" w:themeColor="text1"/>
          <w:szCs w:val="32"/>
          <w14:textFill>
            <w14:solidFill>
              <w14:schemeClr w14:val="tx1"/>
            </w14:solidFill>
          </w14:textFill>
        </w:rPr>
        <w:t>交易；</w:t>
      </w:r>
    </w:p>
    <w:p>
      <w:pPr>
        <w:pStyle w:val="2"/>
        <w:spacing w:line="600" w:lineRule="exact"/>
        <w:ind w:firstLine="6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（九）利用其他相关市场的交易影响证券交易，或者利用证券市场交易影响其他相关市场交易；</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（十）</w:t>
      </w:r>
      <w:r>
        <w:rPr>
          <w:rFonts w:hint="eastAsia"/>
          <w:color w:val="000000" w:themeColor="text1"/>
          <w:szCs w:val="32"/>
          <w14:textFill>
            <w14:solidFill>
              <w14:schemeClr w14:val="tx1"/>
            </w14:solidFill>
          </w14:textFill>
        </w:rPr>
        <w:t>中国证监会或者</w:t>
      </w:r>
      <w:r>
        <w:rPr>
          <w:color w:val="000000" w:themeColor="text1"/>
          <w:szCs w:val="32"/>
          <w14:textFill>
            <w14:solidFill>
              <w14:schemeClr w14:val="tx1"/>
            </w14:solidFill>
          </w14:textFill>
        </w:rPr>
        <w:t>本所认为需要重点监控的其他异常交易</w:t>
      </w:r>
      <w:r>
        <w:rPr>
          <w:rFonts w:hint="eastAsia"/>
          <w:color w:val="000000" w:themeColor="text1"/>
          <w:szCs w:val="32"/>
          <w14:textFill>
            <w14:solidFill>
              <w14:schemeClr w14:val="tx1"/>
            </w14:solidFill>
          </w14:textFill>
        </w:rPr>
        <w:t>行为</w:t>
      </w:r>
      <w:r>
        <w:rPr>
          <w:color w:val="000000" w:themeColor="text1"/>
          <w:szCs w:val="32"/>
          <w14:textFill>
            <w14:solidFill>
              <w14:schemeClr w14:val="tx1"/>
            </w14:solidFill>
          </w14:textFill>
        </w:rPr>
        <w:t>。</w:t>
      </w:r>
    </w:p>
    <w:p>
      <w:pPr>
        <w:pStyle w:val="2"/>
        <w:spacing w:line="600" w:lineRule="exact"/>
        <w:ind w:firstLine="640"/>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本所对投资者以本人名义开立或者由同一投资者实际控制的单个或者多个普通证券账户、信用证券账户以及其他涉嫌关联的证券账户（组）进行合并监控。</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证券交易价格或者证券</w:t>
      </w:r>
      <w:r>
        <w:rPr>
          <w:rFonts w:hint="eastAsia"/>
          <w:color w:val="000000" w:themeColor="text1"/>
          <w:szCs w:val="32"/>
          <w14:textFill>
            <w14:solidFill>
              <w14:schemeClr w14:val="tx1"/>
            </w14:solidFill>
          </w14:textFill>
        </w:rPr>
        <w:t>交易</w:t>
      </w:r>
      <w:r>
        <w:rPr>
          <w:color w:val="000000" w:themeColor="text1"/>
          <w:szCs w:val="32"/>
          <w14:textFill>
            <w14:solidFill>
              <w14:schemeClr w14:val="tx1"/>
            </w14:solidFill>
          </w14:textFill>
        </w:rPr>
        <w:t>量明显异常的情形包括：</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（一）同一证券营业部或同一地区的证券营业部集中买入或卖出同一证券且数量较大；</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（二）证券交易价格连续大幅上涨或下跌，</w:t>
      </w:r>
      <w:r>
        <w:rPr>
          <w:rFonts w:hint="eastAsia"/>
          <w:color w:val="000000" w:themeColor="text1"/>
          <w:szCs w:val="32"/>
          <w14:textFill>
            <w14:solidFill>
              <w14:schemeClr w14:val="tx1"/>
            </w14:solidFill>
          </w14:textFill>
        </w:rPr>
        <w:t>明显偏离同期相关指数的涨幅或跌幅，</w:t>
      </w:r>
      <w:r>
        <w:rPr>
          <w:color w:val="000000" w:themeColor="text1"/>
          <w:szCs w:val="32"/>
          <w14:textFill>
            <w14:solidFill>
              <w14:schemeClr w14:val="tx1"/>
            </w14:solidFill>
          </w14:textFill>
        </w:rPr>
        <w:t>且上市公司无重大事项公告；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w:t>
      </w:r>
      <w:r>
        <w:rPr>
          <w:rFonts w:hint="eastAsia"/>
          <w:color w:val="000000" w:themeColor="text1"/>
          <w:szCs w:val="32"/>
          <w14:textFill>
            <w14:solidFill>
              <w14:schemeClr w14:val="tx1"/>
            </w14:solidFill>
          </w14:textFill>
        </w:rPr>
        <w:t>中国证监会或者</w:t>
      </w:r>
      <w:r>
        <w:rPr>
          <w:color w:val="000000" w:themeColor="text1"/>
          <w:szCs w:val="32"/>
          <w14:textFill>
            <w14:solidFill>
              <w14:schemeClr w14:val="tx1"/>
            </w14:solidFill>
          </w14:textFill>
        </w:rPr>
        <w:t>本所认为需要重点监控的其他异常交易情形。</w:t>
      </w:r>
    </w:p>
    <w:p>
      <w:pPr>
        <w:autoSpaceDE w:val="0"/>
        <w:spacing w:line="600" w:lineRule="exact"/>
        <w:ind w:firstLine="640"/>
        <w:rPr>
          <w:color w:val="000000" w:themeColor="text1"/>
          <w:szCs w:val="32"/>
          <w:lang w:val="en"/>
          <w14:textFill>
            <w14:solidFill>
              <w14:schemeClr w14:val="tx1"/>
            </w14:solidFill>
          </w14:textFill>
        </w:rPr>
      </w:pPr>
      <w:r>
        <w:rPr>
          <w:rFonts w:hint="eastAsia"/>
          <w:color w:val="000000" w:themeColor="text1"/>
          <w:szCs w:val="32"/>
          <w14:textFill>
            <w14:solidFill>
              <w14:schemeClr w14:val="tx1"/>
            </w14:solidFill>
          </w14:textFill>
        </w:rPr>
        <w:t>6.4 本所根据市场需要，可以联合其他证券、期货交易所等机构，对出现第6.2条第九项等情形进行调查。</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6.5 会员应当切实履行客户交易行为管理职责，对客户的证券交易行为进行监控。发现客户交易行为存在异常的，应当及时告知、提醒、警示客户。对可能严重影响证券交易秩序的异常交易行为或者涉嫌违法违规的交易行为，应当根据与客户之间的证券交易委托代理协议拒绝接受其委托，并及时向本所报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本所可以</w:t>
      </w:r>
      <w:r>
        <w:rPr>
          <w:rFonts w:hint="eastAsia"/>
          <w:color w:val="000000" w:themeColor="text1"/>
          <w:szCs w:val="32"/>
          <w14:textFill>
            <w14:solidFill>
              <w14:schemeClr w14:val="tx1"/>
            </w14:solidFill>
          </w14:textFill>
        </w:rPr>
        <w:t>针对证券交易中重点监控事项</w:t>
      </w:r>
      <w:r>
        <w:rPr>
          <w:color w:val="000000" w:themeColor="text1"/>
          <w:szCs w:val="32"/>
          <w14:textFill>
            <w14:solidFill>
              <w14:schemeClr w14:val="tx1"/>
            </w14:solidFill>
          </w14:textFill>
        </w:rPr>
        <w:t>进行现场或非现场调查</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会员</w:t>
      </w:r>
      <w:r>
        <w:rPr>
          <w:rFonts w:hint="eastAsia"/>
          <w:color w:val="000000" w:themeColor="text1"/>
          <w:szCs w:val="32"/>
          <w14:textFill>
            <w14:solidFill>
              <w14:schemeClr w14:val="tx1"/>
            </w14:solidFill>
          </w14:textFill>
        </w:rPr>
        <w:t>及其证券营业部、其他交易参与人以及</w:t>
      </w:r>
      <w:r>
        <w:rPr>
          <w:color w:val="000000" w:themeColor="text1"/>
          <w:szCs w:val="32"/>
          <w14:textFill>
            <w14:solidFill>
              <w14:schemeClr w14:val="tx1"/>
            </w14:solidFill>
          </w14:textFill>
        </w:rPr>
        <w:t>投资者应当予以配合。</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6.7</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本所在现场或非现场调查中，可以根据需要要求</w:t>
      </w:r>
      <w:r>
        <w:rPr>
          <w:rFonts w:hint="eastAsia"/>
          <w:color w:val="000000" w:themeColor="text1"/>
          <w:szCs w:val="32"/>
          <w14:textFill>
            <w14:solidFill>
              <w14:schemeClr w14:val="tx1"/>
            </w14:solidFill>
          </w14:textFill>
        </w:rPr>
        <w:t>相关</w:t>
      </w:r>
      <w:r>
        <w:rPr>
          <w:color w:val="000000" w:themeColor="text1"/>
          <w:szCs w:val="32"/>
          <w14:textFill>
            <w14:solidFill>
              <w14:schemeClr w14:val="tx1"/>
            </w14:solidFill>
          </w14:textFill>
        </w:rPr>
        <w:t>会员及其证券营业部、</w:t>
      </w:r>
      <w:r>
        <w:rPr>
          <w:rFonts w:hint="eastAsia"/>
          <w:color w:val="000000" w:themeColor="text1"/>
          <w:szCs w:val="32"/>
          <w14:textFill>
            <w14:solidFill>
              <w14:schemeClr w14:val="tx1"/>
            </w14:solidFill>
          </w14:textFill>
        </w:rPr>
        <w:t>其他交易参与人以及</w:t>
      </w:r>
      <w:r>
        <w:rPr>
          <w:color w:val="000000" w:themeColor="text1"/>
          <w:szCs w:val="32"/>
          <w14:textFill>
            <w14:solidFill>
              <w14:schemeClr w14:val="tx1"/>
            </w14:solidFill>
          </w14:textFill>
        </w:rPr>
        <w:t>投资者及时、准确、完整地提供下列文件和资料：</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（一）投资者的开户资料、授权委托书、资金账户情况和相关</w:t>
      </w:r>
      <w:r>
        <w:rPr>
          <w:rFonts w:hint="eastAsia"/>
          <w:color w:val="000000" w:themeColor="text1"/>
          <w:szCs w:val="32"/>
          <w14:textFill>
            <w14:solidFill>
              <w14:schemeClr w14:val="tx1"/>
            </w14:solidFill>
          </w14:textFill>
        </w:rPr>
        <w:t>证券</w:t>
      </w:r>
      <w:r>
        <w:rPr>
          <w:color w:val="000000" w:themeColor="text1"/>
          <w:szCs w:val="32"/>
          <w14:textFill>
            <w14:solidFill>
              <w14:schemeClr w14:val="tx1"/>
            </w14:solidFill>
          </w14:textFill>
        </w:rPr>
        <w:t>账户的交易情况等；</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（二）相关证券账户或资金账户的实际控制人、操作人和受益人情况、资金来源以及相关账户间是否存在关联的说明等；</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（三）对证券交易中重点监控事项的解释；</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（四）其他与本所重点监控事项有关的资料。</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6.8</w:t>
      </w:r>
      <w:r>
        <w:rPr>
          <w:rFonts w:hint="eastAsia"/>
          <w:color w:val="000000" w:themeColor="text1"/>
          <w:szCs w:val="32"/>
          <w14:textFill>
            <w14:solidFill>
              <w14:schemeClr w14:val="tx1"/>
            </w14:solidFill>
          </w14:textFill>
        </w:rPr>
        <w:t xml:space="preserve"> 对发生异常交易行为和其他违反本规则规定的相关主体</w:t>
      </w:r>
      <w:r>
        <w:rPr>
          <w:color w:val="000000" w:themeColor="text1"/>
          <w:szCs w:val="32"/>
          <w14:textFill>
            <w14:solidFill>
              <w14:schemeClr w14:val="tx1"/>
            </w14:solidFill>
          </w14:textFill>
        </w:rPr>
        <w:t>，本所可以视情节轻重采取以下自律监管措施：</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w:t>
      </w:r>
      <w:r>
        <w:rPr>
          <w:rFonts w:hint="eastAsia"/>
          <w:color w:val="000000" w:themeColor="text1"/>
          <w:szCs w:val="32"/>
          <w14:textFill>
            <w14:solidFill>
              <w14:schemeClr w14:val="tx1"/>
            </w14:solidFill>
          </w14:textFill>
        </w:rPr>
        <w:t>口头警示；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w:t>
      </w:r>
      <w:r>
        <w:rPr>
          <w:rFonts w:hint="eastAsia"/>
          <w:color w:val="000000" w:themeColor="text1"/>
          <w:szCs w:val="32"/>
          <w14:textFill>
            <w14:solidFill>
              <w14:schemeClr w14:val="tx1"/>
            </w14:solidFill>
          </w14:textFill>
        </w:rPr>
        <w:t>监管关注；</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w:t>
      </w:r>
      <w:r>
        <w:rPr>
          <w:rFonts w:hint="eastAsia"/>
          <w:color w:val="000000" w:themeColor="text1"/>
          <w:szCs w:val="32"/>
          <w14:textFill>
            <w14:solidFill>
              <w14:schemeClr w14:val="tx1"/>
            </w14:solidFill>
          </w14:textFill>
        </w:rPr>
        <w:t>约见谈话；</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（四）要求提交书面承诺；</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（五）出具警示函；</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（六）将证券账户列入重点监控账户；</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（七）限期改正；</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（八）暂停证券账户交易；</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（九）限制证券账户交易；</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（十）本所规定的其他自律监管措施。</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对前款第九项措施有异议的，可以根据本所有关规定提出复核申请。复核期间不停止相关措施的执行。</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6.9</w:t>
      </w:r>
      <w:r>
        <w:rPr>
          <w:rFonts w:hint="eastAsia"/>
          <w:color w:val="000000" w:themeColor="text1"/>
          <w:szCs w:val="32"/>
          <w14:textFill>
            <w14:solidFill>
              <w14:schemeClr w14:val="tx1"/>
            </w14:solidFill>
          </w14:textFill>
        </w:rPr>
        <w:t xml:space="preserve"> 对发生异常交易行为和其他违反本规则规定的相关主体</w:t>
      </w:r>
      <w:r>
        <w:rPr>
          <w:color w:val="000000" w:themeColor="text1"/>
          <w:szCs w:val="32"/>
          <w14:textFill>
            <w14:solidFill>
              <w14:schemeClr w14:val="tx1"/>
            </w14:solidFill>
          </w14:textFill>
        </w:rPr>
        <w:t>，本所可以视情节轻重采取以下纪律处分：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（一）通报批评；</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（二）公开谴责；</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w:t>
      </w:r>
      <w:r>
        <w:rPr>
          <w:rFonts w:hint="eastAsia"/>
          <w:color w:val="000000" w:themeColor="text1"/>
          <w:szCs w:val="32"/>
          <w14:textFill>
            <w14:solidFill>
              <w14:schemeClr w14:val="tx1"/>
            </w14:solidFill>
          </w14:textFill>
        </w:rPr>
        <w:t>暂停或者限制交易权限</w:t>
      </w:r>
      <w:r>
        <w:rPr>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（四）</w:t>
      </w:r>
      <w:r>
        <w:rPr>
          <w:rFonts w:hint="eastAsia"/>
          <w:color w:val="000000" w:themeColor="text1"/>
          <w:szCs w:val="32"/>
          <w14:textFill>
            <w14:solidFill>
              <w14:schemeClr w14:val="tx1"/>
            </w14:solidFill>
          </w14:textFill>
        </w:rPr>
        <w:t>取消交易权限</w:t>
      </w:r>
      <w:r>
        <w:rPr>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五</w:t>
      </w:r>
      <w:r>
        <w:rPr>
          <w:color w:val="000000" w:themeColor="text1"/>
          <w:szCs w:val="32"/>
          <w14:textFill>
            <w14:solidFill>
              <w14:schemeClr w14:val="tx1"/>
            </w14:solidFill>
          </w14:textFill>
        </w:rPr>
        <w:t>）取消交易参与人资格；</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六</w:t>
      </w:r>
      <w:r>
        <w:rPr>
          <w:color w:val="000000" w:themeColor="text1"/>
          <w:szCs w:val="32"/>
          <w14:textFill>
            <w14:solidFill>
              <w14:schemeClr w14:val="tx1"/>
            </w14:solidFill>
          </w14:textFill>
        </w:rPr>
        <w:t>）取消会员资格；</w:t>
      </w:r>
    </w:p>
    <w:p>
      <w:pPr>
        <w:pStyle w:val="43"/>
        <w:spacing w:line="600" w:lineRule="exact"/>
        <w:ind w:firstLine="640"/>
        <w:rPr>
          <w:rFonts w:ascii="Times New Roman" w:eastAsia="仿宋" w:cs="Times New Roman"/>
          <w:color w:val="000000" w:themeColor="text1"/>
          <w:sz w:val="32"/>
          <w:szCs w:val="32"/>
          <w:lang w:val="en-US"/>
          <w14:textFill>
            <w14:solidFill>
              <w14:schemeClr w14:val="tx1"/>
            </w14:solidFill>
          </w14:textFill>
        </w:rPr>
      </w:pPr>
      <w:r>
        <w:rPr>
          <w:rFonts w:ascii="Times New Roman" w:eastAsia="仿宋" w:cs="Times New Roman"/>
          <w:color w:val="000000" w:themeColor="text1"/>
          <w:kern w:val="2"/>
          <w:sz w:val="32"/>
          <w:szCs w:val="32"/>
          <w:lang w:val="en-US"/>
          <w14:textFill>
            <w14:solidFill>
              <w14:schemeClr w14:val="tx1"/>
            </w14:solidFill>
          </w14:textFill>
        </w:rPr>
        <w:t>（</w:t>
      </w:r>
      <w:r>
        <w:rPr>
          <w:rFonts w:hint="eastAsia" w:ascii="Times New Roman" w:eastAsia="仿宋" w:cs="Times New Roman"/>
          <w:color w:val="000000" w:themeColor="text1"/>
          <w:kern w:val="2"/>
          <w:sz w:val="32"/>
          <w:szCs w:val="32"/>
          <w:lang w:val="en-US"/>
          <w14:textFill>
            <w14:solidFill>
              <w14:schemeClr w14:val="tx1"/>
            </w14:solidFill>
          </w14:textFill>
        </w:rPr>
        <w:t>七</w:t>
      </w:r>
      <w:r>
        <w:rPr>
          <w:rFonts w:ascii="Times New Roman" w:eastAsia="仿宋" w:cs="Times New Roman"/>
          <w:color w:val="000000" w:themeColor="text1"/>
          <w:kern w:val="2"/>
          <w:sz w:val="32"/>
          <w:szCs w:val="32"/>
          <w:lang w:val="en-US"/>
          <w14:textFill>
            <w14:solidFill>
              <w14:schemeClr w14:val="tx1"/>
            </w14:solidFill>
          </w14:textFill>
        </w:rPr>
        <w:t>）本所规定的其他纪律处分。</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对前款措施有异议的，可以根据本所有关规定提出复核申请。复核期间不停止相关措施的执行，本所另有规定的除外。</w:t>
      </w:r>
    </w:p>
    <w:p>
      <w:pPr>
        <w:autoSpaceDE w:val="0"/>
        <w:spacing w:line="600" w:lineRule="exact"/>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6</w:t>
      </w:r>
      <w:r>
        <w:rPr>
          <w:color w:val="000000" w:themeColor="text1"/>
          <w:szCs w:val="32"/>
          <w:lang w:val="en"/>
          <w14:textFill>
            <w14:solidFill>
              <w14:schemeClr w14:val="tx1"/>
            </w14:solidFill>
          </w14:textFill>
        </w:rPr>
        <w:t>.</w:t>
      </w:r>
      <w:r>
        <w:rPr>
          <w:rFonts w:hint="eastAsia"/>
          <w:color w:val="000000" w:themeColor="text1"/>
          <w:szCs w:val="32"/>
          <w14:textFill>
            <w14:solidFill>
              <w14:schemeClr w14:val="tx1"/>
            </w14:solidFill>
          </w14:textFill>
        </w:rPr>
        <w:t>10 本所对在交易监控中发现的涉嫌内幕交易、操纵市场、利用未公开信息交易等违法违规行为，及时上报中国证监会查处。</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第七章  交易异常情况处理</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因下列突发性事件，导致部分或全部证券交易不能正常进行的，为维护市场交易正常秩序和市场公平，本所可以决定采取技术性停牌、临时停市等处置措施：</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（一）不可抗力；</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（二）意外事件；</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（三）重大技术故障；</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（四）重大人为差错；</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（五）本所认定的其他异常情况。</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因前款规定的突发性事件导致证券交易结果出现重大异常，按交易结果进行交收将对证券交易正常秩序和市场公平造成重大影响的，本所可以采取取消交易、通知证券登记结算机构暂缓交收等措施。</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出现无法申报或行情传输中断情况的，会员应及时向本所报告。无法申报或行情传输中断的证券营业部数量超过全部会员所属证券营业部总数10%以上的，属于交易异常情况，本所可以实行临时停市。</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本所认为可能发生第7.1条、第7.2条规定的交易异常情况，并严重影响交易正常进行的，可以决定技术性停牌或临时停市。</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7.4</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本所对技术性停牌、临时停市、取消交易、通知证券登记结算机构暂缓交收的决定予以公告，并及时向中国证监会报告。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技术性停牌或临时停市原因消除后，本所可以决定恢复交易，并予以公告。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7.6</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所对证券交易进行风险监测。出现重大异常波动的，本所可以采取限制交易、强制停牌等处理措施，并向中国证监会报告；严重影响证券市场稳定的，本所可以采取临时停市等处置措施并公告。具体办法由本所另行制定。</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7.7</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因对交易异常情况、重大异常波动采取相应措施造成损失的，本所不承担民事赔偿责任，但存在重大过错的除外。</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7.8</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交易异常情况处理的具体规定，由本所另行制定。</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第八章  交易纠纷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8.1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交易参与人之间、会员和客户之间发生交易纠纷，相关会员及其他交易参与人应当记录有关情况，以备本所查阅。交易纠纷影响正常交易的，会员及其他交易参与人应当及时向本所报告。</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8.2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交易参与人之间、会员和客户之间发生交易纠纷，本所可以按有关规定，提供必要的交易数据。</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8.3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客户对交易有疑义的，会员有义务协调处理。</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第九章  交易费用</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9.1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投资者买卖证券成交的，应当按规定向会员交纳佣金。</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9.2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交易参与人应当按规定向本所交纳交易经手费及其他费用。</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9.3</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证券交易的收费项目、收费标准和收费方式等按有关规定执行。</w:t>
      </w:r>
    </w:p>
    <w:p>
      <w:pPr>
        <w:pStyle w:val="4"/>
        <w:keepNext w:val="0"/>
        <w:keepLines w:val="0"/>
        <w:autoSpaceDE w:val="0"/>
        <w:spacing w:before="240" w:after="24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第十章  附</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则</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10.1</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本规则所述时间，以本所交易主机的时间为准。</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10.2</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本规则下列用语含义：</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（一）做市商，是指经本所同意，在本所持续发布买卖双向报价，</w:t>
      </w:r>
      <w:r>
        <w:rPr>
          <w:rFonts w:hint="eastAsia"/>
          <w:color w:val="000000" w:themeColor="text1"/>
          <w:szCs w:val="32"/>
          <w14:textFill>
            <w14:solidFill>
              <w14:schemeClr w14:val="tx1"/>
            </w14:solidFill>
          </w14:textFill>
        </w:rPr>
        <w:t>并在其报价数量范围内履行与投资者成交义务的证券公司或其他机构</w:t>
      </w:r>
      <w:r>
        <w:rPr>
          <w:color w:val="000000" w:themeColor="text1"/>
          <w:szCs w:val="32"/>
          <w14:textFill>
            <w14:solidFill>
              <w14:schemeClr w14:val="tx1"/>
            </w14:solidFill>
          </w14:textFill>
        </w:rPr>
        <w:t>；</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（二）委托，是指投资者向会员进行具体授权买卖证券的行为；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（三）申报，是指交易参与人向本所交易主机发送证券买卖指令的行为；</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（四）集中申报簿，是指交易主机某一时点按买卖方向以及价格优先、时间优先顺序排列的所有未成交申报队列；</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（五）集合竞价参考价，是指截至揭示时集中申报簿中所有申报按照集合竞价规则形成的虚拟集合竞价成交价；</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（六）匹配量，是指截至揭示时集中申报簿中所有申报按照集合竞价规则形成的虚拟成交数量；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（七）未匹配量，是指截至揭示时集中申报簿中在集合竞价参考价位上的不能按照集合竞价参考价虚拟成交的买方或卖方申报剩余量。</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10.3本规则所称</w:t>
      </w:r>
      <w:r>
        <w:rPr>
          <w:rFonts w:hint="eastAsia" w:ascii="仿宋" w:hAnsi="仿宋"/>
          <w:color w:val="000000" w:themeColor="text1"/>
          <w:szCs w:val="32"/>
          <w14:textFill>
            <w14:solidFill>
              <w14:schemeClr w14:val="tx1"/>
            </w14:solidFill>
          </w14:textFill>
        </w:rPr>
        <w:t>“超过”“低于”“高于”“不足”</w:t>
      </w:r>
      <w:r>
        <w:rPr>
          <w:color w:val="000000" w:themeColor="text1"/>
          <w:szCs w:val="32"/>
          <w14:textFill>
            <w14:solidFill>
              <w14:schemeClr w14:val="tx1"/>
            </w14:solidFill>
          </w14:textFill>
        </w:rPr>
        <w:t>不含本数，</w:t>
      </w:r>
      <w:r>
        <w:rPr>
          <w:rFonts w:hint="eastAsia" w:ascii="仿宋" w:hAnsi="仿宋"/>
          <w:color w:val="000000" w:themeColor="text1"/>
          <w:szCs w:val="32"/>
          <w14:textFill>
            <w14:solidFill>
              <w14:schemeClr w14:val="tx1"/>
            </w14:solidFill>
          </w14:textFill>
        </w:rPr>
        <w:t>“以内”“达到”“以上”“以下”</w:t>
      </w:r>
      <w:r>
        <w:rPr>
          <w:color w:val="000000" w:themeColor="text1"/>
          <w:szCs w:val="32"/>
          <w14:textFill>
            <w14:solidFill>
              <w14:schemeClr w14:val="tx1"/>
            </w14:solidFill>
          </w14:textFill>
        </w:rPr>
        <w:t>含本数。</w:t>
      </w:r>
    </w:p>
    <w:p>
      <w:pPr>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10.4本规则制定经本所董事会通过，并报中国证监会批准后生效，修改时亦同。</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10.5</w:t>
      </w:r>
      <w:r>
        <w:rPr>
          <w:rFonts w:hint="eastAsia"/>
          <w:color w:val="000000" w:themeColor="text1"/>
          <w:szCs w:val="32"/>
          <w14:textFill>
            <w14:solidFill>
              <w14:schemeClr w14:val="tx1"/>
            </w14:solidFill>
          </w14:textFill>
        </w:rPr>
        <w:t xml:space="preserve"> </w:t>
      </w:r>
      <w:r>
        <w:rPr>
          <w:color w:val="000000" w:themeColor="text1"/>
          <w:szCs w:val="32"/>
          <w14:textFill>
            <w14:solidFill>
              <w14:schemeClr w14:val="tx1"/>
            </w14:solidFill>
          </w14:textFill>
        </w:rPr>
        <w:t>本规则由本所负责解释。</w:t>
      </w:r>
    </w:p>
    <w:p>
      <w:pPr>
        <w:pStyle w:val="33"/>
        <w:autoSpaceDE w:val="0"/>
        <w:spacing w:line="60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 xml:space="preserve">10.6 </w:t>
      </w:r>
      <w:r>
        <w:rPr>
          <w:rFonts w:hint="eastAsia"/>
          <w:color w:val="000000" w:themeColor="text1"/>
          <w:szCs w:val="32"/>
          <w14:textFill>
            <w14:solidFill>
              <w14:schemeClr w14:val="tx1"/>
            </w14:solidFill>
          </w14:textFill>
        </w:rPr>
        <w:t>本规则自2026年7月6日起施行。</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985" w:left="1588"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swiss"/>
    <w:pitch w:val="default"/>
    <w:sig w:usb0="00000000" w:usb1="00000000" w:usb2="00000000" w:usb3="00000000" w:csb0="0000019F" w:csb1="0000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Times New Roman"/>
    <w:panose1 w:val="020B0604020202020204"/>
    <w:charset w:val="86"/>
    <w:family w:val="swiss"/>
    <w:pitch w:val="default"/>
    <w:sig w:usb0="00000000" w:usb1="00000000" w:usb2="0000003F" w:usb3="00000000" w:csb0="003F01FF" w:csb1="00000000"/>
  </w:font>
  <w:font w:name="方正大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eastAsiaTheme="minorEastAsia"/>
        <w:sz w:val="28"/>
        <w:szCs w:val="28"/>
      </w:rPr>
    </w:sdtEndPr>
    <w:sdtContent>
      <w:p>
        <w:pPr>
          <w:pStyle w:val="11"/>
          <w:ind w:firstLine="360"/>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31 -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eastAsiaTheme="minorEastAsia"/>
        <w:sz w:val="28"/>
        <w:szCs w:val="28"/>
      </w:rPr>
    </w:sdtEndPr>
    <w:sdtContent>
      <w:p>
        <w:pPr>
          <w:pStyle w:val="11"/>
          <w:ind w:firstLine="0" w:firstLineChars="0"/>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32 -</w:t>
        </w:r>
        <w:r>
          <w:rPr>
            <w:rFonts w:asciiTheme="minorEastAsia" w:hAnsiTheme="minorEastAsia" w:eastAsia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trackRevisions w:val="1"/>
  <w:documentProtection w:edit="readOnly" w:enforcement="0"/>
  <w:defaultTabStop w:val="420"/>
  <w:evenAndOddHeaders w:val="1"/>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B8"/>
    <w:rsid w:val="000004DB"/>
    <w:rsid w:val="00000BCB"/>
    <w:rsid w:val="00000C15"/>
    <w:rsid w:val="00000DB7"/>
    <w:rsid w:val="00000E32"/>
    <w:rsid w:val="00000F3D"/>
    <w:rsid w:val="000012E6"/>
    <w:rsid w:val="00001B90"/>
    <w:rsid w:val="00001F3A"/>
    <w:rsid w:val="0000233D"/>
    <w:rsid w:val="0000261F"/>
    <w:rsid w:val="00002E8F"/>
    <w:rsid w:val="000040DA"/>
    <w:rsid w:val="0000418F"/>
    <w:rsid w:val="000041B9"/>
    <w:rsid w:val="00004651"/>
    <w:rsid w:val="00004B1C"/>
    <w:rsid w:val="00004BAA"/>
    <w:rsid w:val="000051DF"/>
    <w:rsid w:val="000052CC"/>
    <w:rsid w:val="00005406"/>
    <w:rsid w:val="00005FAC"/>
    <w:rsid w:val="0000601F"/>
    <w:rsid w:val="00006760"/>
    <w:rsid w:val="00006B3C"/>
    <w:rsid w:val="00007086"/>
    <w:rsid w:val="00007352"/>
    <w:rsid w:val="000076CC"/>
    <w:rsid w:val="00007952"/>
    <w:rsid w:val="00007B23"/>
    <w:rsid w:val="00010FBE"/>
    <w:rsid w:val="000111EE"/>
    <w:rsid w:val="0001132B"/>
    <w:rsid w:val="00011881"/>
    <w:rsid w:val="000123B5"/>
    <w:rsid w:val="00012746"/>
    <w:rsid w:val="0001279E"/>
    <w:rsid w:val="0001319D"/>
    <w:rsid w:val="00013434"/>
    <w:rsid w:val="000137E5"/>
    <w:rsid w:val="000140A5"/>
    <w:rsid w:val="00014772"/>
    <w:rsid w:val="00014D59"/>
    <w:rsid w:val="00015298"/>
    <w:rsid w:val="00015CDA"/>
    <w:rsid w:val="00015D34"/>
    <w:rsid w:val="000163A3"/>
    <w:rsid w:val="0001648B"/>
    <w:rsid w:val="00016604"/>
    <w:rsid w:val="000171FB"/>
    <w:rsid w:val="000200A7"/>
    <w:rsid w:val="00020352"/>
    <w:rsid w:val="00020401"/>
    <w:rsid w:val="000209B2"/>
    <w:rsid w:val="000209D4"/>
    <w:rsid w:val="00020B54"/>
    <w:rsid w:val="00020EB4"/>
    <w:rsid w:val="000210C7"/>
    <w:rsid w:val="000212B1"/>
    <w:rsid w:val="000215BD"/>
    <w:rsid w:val="00021B1B"/>
    <w:rsid w:val="00021E34"/>
    <w:rsid w:val="00021F8B"/>
    <w:rsid w:val="00021FCE"/>
    <w:rsid w:val="000223CB"/>
    <w:rsid w:val="0002244F"/>
    <w:rsid w:val="00022BA2"/>
    <w:rsid w:val="00022F4D"/>
    <w:rsid w:val="00023393"/>
    <w:rsid w:val="000233ED"/>
    <w:rsid w:val="00023918"/>
    <w:rsid w:val="0002413E"/>
    <w:rsid w:val="000241FB"/>
    <w:rsid w:val="00024448"/>
    <w:rsid w:val="00024637"/>
    <w:rsid w:val="000250FF"/>
    <w:rsid w:val="00025214"/>
    <w:rsid w:val="00025830"/>
    <w:rsid w:val="00025C65"/>
    <w:rsid w:val="00025E5F"/>
    <w:rsid w:val="00025FDE"/>
    <w:rsid w:val="00026141"/>
    <w:rsid w:val="0002646C"/>
    <w:rsid w:val="0002702B"/>
    <w:rsid w:val="000271B6"/>
    <w:rsid w:val="00027677"/>
    <w:rsid w:val="0002781D"/>
    <w:rsid w:val="00027976"/>
    <w:rsid w:val="00027ABC"/>
    <w:rsid w:val="00027B2C"/>
    <w:rsid w:val="00027D92"/>
    <w:rsid w:val="00030254"/>
    <w:rsid w:val="000302BB"/>
    <w:rsid w:val="0003087E"/>
    <w:rsid w:val="00030A94"/>
    <w:rsid w:val="00030FD6"/>
    <w:rsid w:val="00031819"/>
    <w:rsid w:val="0003188B"/>
    <w:rsid w:val="00031A7E"/>
    <w:rsid w:val="00031E93"/>
    <w:rsid w:val="00032B76"/>
    <w:rsid w:val="00032BB9"/>
    <w:rsid w:val="00032FEF"/>
    <w:rsid w:val="000331F0"/>
    <w:rsid w:val="00033402"/>
    <w:rsid w:val="00033D64"/>
    <w:rsid w:val="00033FA7"/>
    <w:rsid w:val="0003452A"/>
    <w:rsid w:val="00034536"/>
    <w:rsid w:val="00034889"/>
    <w:rsid w:val="00034CA3"/>
    <w:rsid w:val="00034CB4"/>
    <w:rsid w:val="00034DC5"/>
    <w:rsid w:val="00034F04"/>
    <w:rsid w:val="00035017"/>
    <w:rsid w:val="00035797"/>
    <w:rsid w:val="00035853"/>
    <w:rsid w:val="00035EC6"/>
    <w:rsid w:val="000364B9"/>
    <w:rsid w:val="000366E8"/>
    <w:rsid w:val="00036F6E"/>
    <w:rsid w:val="00037689"/>
    <w:rsid w:val="000376B4"/>
    <w:rsid w:val="000377B9"/>
    <w:rsid w:val="000378E6"/>
    <w:rsid w:val="00037C13"/>
    <w:rsid w:val="000406E0"/>
    <w:rsid w:val="00040819"/>
    <w:rsid w:val="00040A00"/>
    <w:rsid w:val="00040CB2"/>
    <w:rsid w:val="00041038"/>
    <w:rsid w:val="00041073"/>
    <w:rsid w:val="000413CD"/>
    <w:rsid w:val="0004144B"/>
    <w:rsid w:val="00042AA7"/>
    <w:rsid w:val="00043B8A"/>
    <w:rsid w:val="00044F5A"/>
    <w:rsid w:val="00044FF4"/>
    <w:rsid w:val="000452AE"/>
    <w:rsid w:val="00046129"/>
    <w:rsid w:val="000464E4"/>
    <w:rsid w:val="0004656E"/>
    <w:rsid w:val="00046576"/>
    <w:rsid w:val="000465AD"/>
    <w:rsid w:val="0004678F"/>
    <w:rsid w:val="00047A1E"/>
    <w:rsid w:val="00047E10"/>
    <w:rsid w:val="0005015C"/>
    <w:rsid w:val="00050E13"/>
    <w:rsid w:val="00050E28"/>
    <w:rsid w:val="00050EB5"/>
    <w:rsid w:val="000515D0"/>
    <w:rsid w:val="00051A18"/>
    <w:rsid w:val="00052972"/>
    <w:rsid w:val="00052E14"/>
    <w:rsid w:val="000530B5"/>
    <w:rsid w:val="00053409"/>
    <w:rsid w:val="00053AC4"/>
    <w:rsid w:val="00054676"/>
    <w:rsid w:val="0005573C"/>
    <w:rsid w:val="00055E3B"/>
    <w:rsid w:val="000560CA"/>
    <w:rsid w:val="0005610F"/>
    <w:rsid w:val="00056236"/>
    <w:rsid w:val="00056388"/>
    <w:rsid w:val="000567B4"/>
    <w:rsid w:val="00056849"/>
    <w:rsid w:val="00056963"/>
    <w:rsid w:val="00056A72"/>
    <w:rsid w:val="00056AD4"/>
    <w:rsid w:val="00057221"/>
    <w:rsid w:val="0005727B"/>
    <w:rsid w:val="0006018B"/>
    <w:rsid w:val="00060397"/>
    <w:rsid w:val="000603B3"/>
    <w:rsid w:val="0006049E"/>
    <w:rsid w:val="00060746"/>
    <w:rsid w:val="00060912"/>
    <w:rsid w:val="00060AE9"/>
    <w:rsid w:val="00060DC6"/>
    <w:rsid w:val="0006142F"/>
    <w:rsid w:val="0006178A"/>
    <w:rsid w:val="000617FB"/>
    <w:rsid w:val="00061A45"/>
    <w:rsid w:val="0006221D"/>
    <w:rsid w:val="00062956"/>
    <w:rsid w:val="000638E4"/>
    <w:rsid w:val="000639B5"/>
    <w:rsid w:val="00063DD3"/>
    <w:rsid w:val="0006422A"/>
    <w:rsid w:val="000645CE"/>
    <w:rsid w:val="00064907"/>
    <w:rsid w:val="00064D4F"/>
    <w:rsid w:val="00064DD1"/>
    <w:rsid w:val="0006514D"/>
    <w:rsid w:val="00065349"/>
    <w:rsid w:val="0006546F"/>
    <w:rsid w:val="0006581A"/>
    <w:rsid w:val="0006706F"/>
    <w:rsid w:val="00067600"/>
    <w:rsid w:val="000679B3"/>
    <w:rsid w:val="000702FC"/>
    <w:rsid w:val="00070692"/>
    <w:rsid w:val="00070733"/>
    <w:rsid w:val="00070EF4"/>
    <w:rsid w:val="00071BDA"/>
    <w:rsid w:val="00071CAB"/>
    <w:rsid w:val="00071D6D"/>
    <w:rsid w:val="000721CD"/>
    <w:rsid w:val="00072774"/>
    <w:rsid w:val="000727E2"/>
    <w:rsid w:val="00072E6E"/>
    <w:rsid w:val="0007365A"/>
    <w:rsid w:val="00073887"/>
    <w:rsid w:val="00073AF1"/>
    <w:rsid w:val="00074054"/>
    <w:rsid w:val="00074859"/>
    <w:rsid w:val="00074BE5"/>
    <w:rsid w:val="00074E96"/>
    <w:rsid w:val="00074F11"/>
    <w:rsid w:val="00075103"/>
    <w:rsid w:val="000751F8"/>
    <w:rsid w:val="000756B7"/>
    <w:rsid w:val="00075DDE"/>
    <w:rsid w:val="0007667F"/>
    <w:rsid w:val="0007670D"/>
    <w:rsid w:val="000767C9"/>
    <w:rsid w:val="00076BF8"/>
    <w:rsid w:val="0007702C"/>
    <w:rsid w:val="00077489"/>
    <w:rsid w:val="00077B36"/>
    <w:rsid w:val="00077E1F"/>
    <w:rsid w:val="00077E2A"/>
    <w:rsid w:val="000801EF"/>
    <w:rsid w:val="00080A01"/>
    <w:rsid w:val="000814EA"/>
    <w:rsid w:val="00081512"/>
    <w:rsid w:val="000821A7"/>
    <w:rsid w:val="0008248E"/>
    <w:rsid w:val="000828F0"/>
    <w:rsid w:val="00082FA0"/>
    <w:rsid w:val="0008325C"/>
    <w:rsid w:val="000834D6"/>
    <w:rsid w:val="000835F3"/>
    <w:rsid w:val="0008397A"/>
    <w:rsid w:val="000839FC"/>
    <w:rsid w:val="000841FB"/>
    <w:rsid w:val="00084807"/>
    <w:rsid w:val="000849B5"/>
    <w:rsid w:val="00084BFB"/>
    <w:rsid w:val="00085760"/>
    <w:rsid w:val="000857A9"/>
    <w:rsid w:val="0008581F"/>
    <w:rsid w:val="000858E0"/>
    <w:rsid w:val="00085EE2"/>
    <w:rsid w:val="00085F11"/>
    <w:rsid w:val="00086161"/>
    <w:rsid w:val="00086D5A"/>
    <w:rsid w:val="00086E31"/>
    <w:rsid w:val="00086FC7"/>
    <w:rsid w:val="00087344"/>
    <w:rsid w:val="00087D53"/>
    <w:rsid w:val="0009053E"/>
    <w:rsid w:val="00090F20"/>
    <w:rsid w:val="000918AD"/>
    <w:rsid w:val="00091D54"/>
    <w:rsid w:val="00091F81"/>
    <w:rsid w:val="000925D9"/>
    <w:rsid w:val="00092880"/>
    <w:rsid w:val="0009297E"/>
    <w:rsid w:val="00092EA1"/>
    <w:rsid w:val="000930E1"/>
    <w:rsid w:val="00093565"/>
    <w:rsid w:val="000937D6"/>
    <w:rsid w:val="00094442"/>
    <w:rsid w:val="0009447E"/>
    <w:rsid w:val="000947FE"/>
    <w:rsid w:val="00094C4F"/>
    <w:rsid w:val="000952CA"/>
    <w:rsid w:val="00095F6C"/>
    <w:rsid w:val="0009634D"/>
    <w:rsid w:val="0009639D"/>
    <w:rsid w:val="000963E1"/>
    <w:rsid w:val="0009647D"/>
    <w:rsid w:val="00096AE0"/>
    <w:rsid w:val="0009746D"/>
    <w:rsid w:val="00097857"/>
    <w:rsid w:val="000979F3"/>
    <w:rsid w:val="00097A1B"/>
    <w:rsid w:val="00097AEC"/>
    <w:rsid w:val="000A08AF"/>
    <w:rsid w:val="000A0C64"/>
    <w:rsid w:val="000A118B"/>
    <w:rsid w:val="000A11F8"/>
    <w:rsid w:val="000A122F"/>
    <w:rsid w:val="000A13AE"/>
    <w:rsid w:val="000A1804"/>
    <w:rsid w:val="000A1ADC"/>
    <w:rsid w:val="000A1F23"/>
    <w:rsid w:val="000A24BD"/>
    <w:rsid w:val="000A25FF"/>
    <w:rsid w:val="000A29C4"/>
    <w:rsid w:val="000A2A76"/>
    <w:rsid w:val="000A2E02"/>
    <w:rsid w:val="000A2ED2"/>
    <w:rsid w:val="000A2F88"/>
    <w:rsid w:val="000A3100"/>
    <w:rsid w:val="000A367A"/>
    <w:rsid w:val="000A3A58"/>
    <w:rsid w:val="000A3A6F"/>
    <w:rsid w:val="000A3D45"/>
    <w:rsid w:val="000A43F1"/>
    <w:rsid w:val="000A4564"/>
    <w:rsid w:val="000A45ED"/>
    <w:rsid w:val="000A4A29"/>
    <w:rsid w:val="000A5247"/>
    <w:rsid w:val="000A54DA"/>
    <w:rsid w:val="000A5686"/>
    <w:rsid w:val="000A57A6"/>
    <w:rsid w:val="000A58A3"/>
    <w:rsid w:val="000A58CC"/>
    <w:rsid w:val="000A6BB8"/>
    <w:rsid w:val="000A6E12"/>
    <w:rsid w:val="000A7064"/>
    <w:rsid w:val="000A742A"/>
    <w:rsid w:val="000A7696"/>
    <w:rsid w:val="000A7BB0"/>
    <w:rsid w:val="000A7C29"/>
    <w:rsid w:val="000A7F1A"/>
    <w:rsid w:val="000B05EB"/>
    <w:rsid w:val="000B0C25"/>
    <w:rsid w:val="000B0D6D"/>
    <w:rsid w:val="000B1000"/>
    <w:rsid w:val="000B1666"/>
    <w:rsid w:val="000B179B"/>
    <w:rsid w:val="000B1B9B"/>
    <w:rsid w:val="000B1D18"/>
    <w:rsid w:val="000B1D93"/>
    <w:rsid w:val="000B1E9B"/>
    <w:rsid w:val="000B1EE8"/>
    <w:rsid w:val="000B2BF4"/>
    <w:rsid w:val="000B2FED"/>
    <w:rsid w:val="000B30B6"/>
    <w:rsid w:val="000B33FB"/>
    <w:rsid w:val="000B35AA"/>
    <w:rsid w:val="000B3C31"/>
    <w:rsid w:val="000B4251"/>
    <w:rsid w:val="000B426E"/>
    <w:rsid w:val="000B4431"/>
    <w:rsid w:val="000B4853"/>
    <w:rsid w:val="000B49B6"/>
    <w:rsid w:val="000B4B8D"/>
    <w:rsid w:val="000B5157"/>
    <w:rsid w:val="000B5906"/>
    <w:rsid w:val="000B5EAA"/>
    <w:rsid w:val="000B6803"/>
    <w:rsid w:val="000B6985"/>
    <w:rsid w:val="000B6F50"/>
    <w:rsid w:val="000B6F6D"/>
    <w:rsid w:val="000B702F"/>
    <w:rsid w:val="000B72DC"/>
    <w:rsid w:val="000B73DC"/>
    <w:rsid w:val="000C0108"/>
    <w:rsid w:val="000C0616"/>
    <w:rsid w:val="000C0EE7"/>
    <w:rsid w:val="000C177B"/>
    <w:rsid w:val="000C18FC"/>
    <w:rsid w:val="000C1AAF"/>
    <w:rsid w:val="000C206A"/>
    <w:rsid w:val="000C21D6"/>
    <w:rsid w:val="000C2B9D"/>
    <w:rsid w:val="000C2D03"/>
    <w:rsid w:val="000C30E2"/>
    <w:rsid w:val="000C3423"/>
    <w:rsid w:val="000C3571"/>
    <w:rsid w:val="000C3B17"/>
    <w:rsid w:val="000C3DAE"/>
    <w:rsid w:val="000C3EF9"/>
    <w:rsid w:val="000C446C"/>
    <w:rsid w:val="000C46CD"/>
    <w:rsid w:val="000C54F5"/>
    <w:rsid w:val="000C5573"/>
    <w:rsid w:val="000C6044"/>
    <w:rsid w:val="000C626A"/>
    <w:rsid w:val="000C6286"/>
    <w:rsid w:val="000C6818"/>
    <w:rsid w:val="000C686C"/>
    <w:rsid w:val="000C6C22"/>
    <w:rsid w:val="000C6C8E"/>
    <w:rsid w:val="000C73FB"/>
    <w:rsid w:val="000C7506"/>
    <w:rsid w:val="000C7BD0"/>
    <w:rsid w:val="000D096B"/>
    <w:rsid w:val="000D119C"/>
    <w:rsid w:val="000D19A7"/>
    <w:rsid w:val="000D234C"/>
    <w:rsid w:val="000D298C"/>
    <w:rsid w:val="000D2DC8"/>
    <w:rsid w:val="000D34CB"/>
    <w:rsid w:val="000D3AFA"/>
    <w:rsid w:val="000D4372"/>
    <w:rsid w:val="000D4905"/>
    <w:rsid w:val="000D4B63"/>
    <w:rsid w:val="000D5B3C"/>
    <w:rsid w:val="000D5FD0"/>
    <w:rsid w:val="000D6138"/>
    <w:rsid w:val="000D669F"/>
    <w:rsid w:val="000D72C1"/>
    <w:rsid w:val="000D7616"/>
    <w:rsid w:val="000D7ABB"/>
    <w:rsid w:val="000D7B7F"/>
    <w:rsid w:val="000D7D7E"/>
    <w:rsid w:val="000D7E10"/>
    <w:rsid w:val="000E1C0E"/>
    <w:rsid w:val="000E21B9"/>
    <w:rsid w:val="000E266B"/>
    <w:rsid w:val="000E27C9"/>
    <w:rsid w:val="000E2BC8"/>
    <w:rsid w:val="000E2E62"/>
    <w:rsid w:val="000E3395"/>
    <w:rsid w:val="000E3802"/>
    <w:rsid w:val="000E39A4"/>
    <w:rsid w:val="000E3D25"/>
    <w:rsid w:val="000E414C"/>
    <w:rsid w:val="000E45B4"/>
    <w:rsid w:val="000E4784"/>
    <w:rsid w:val="000E4916"/>
    <w:rsid w:val="000E4B4F"/>
    <w:rsid w:val="000E4D01"/>
    <w:rsid w:val="000E53E8"/>
    <w:rsid w:val="000E5A9F"/>
    <w:rsid w:val="000E645C"/>
    <w:rsid w:val="000E6894"/>
    <w:rsid w:val="000E6BF5"/>
    <w:rsid w:val="000E6E4C"/>
    <w:rsid w:val="000E728B"/>
    <w:rsid w:val="000E72BB"/>
    <w:rsid w:val="000E72D0"/>
    <w:rsid w:val="000F0BB5"/>
    <w:rsid w:val="000F0DC4"/>
    <w:rsid w:val="000F1492"/>
    <w:rsid w:val="000F15D9"/>
    <w:rsid w:val="000F1B08"/>
    <w:rsid w:val="000F1D18"/>
    <w:rsid w:val="000F23FE"/>
    <w:rsid w:val="000F27E0"/>
    <w:rsid w:val="000F2D51"/>
    <w:rsid w:val="000F2E05"/>
    <w:rsid w:val="000F2ECE"/>
    <w:rsid w:val="000F2F6E"/>
    <w:rsid w:val="000F304A"/>
    <w:rsid w:val="000F315B"/>
    <w:rsid w:val="000F32F9"/>
    <w:rsid w:val="000F37D5"/>
    <w:rsid w:val="000F3E5D"/>
    <w:rsid w:val="000F4226"/>
    <w:rsid w:val="000F4903"/>
    <w:rsid w:val="000F5262"/>
    <w:rsid w:val="000F5670"/>
    <w:rsid w:val="000F593C"/>
    <w:rsid w:val="000F593E"/>
    <w:rsid w:val="000F595C"/>
    <w:rsid w:val="000F5B7C"/>
    <w:rsid w:val="000F5CAD"/>
    <w:rsid w:val="000F5EEE"/>
    <w:rsid w:val="000F5FBF"/>
    <w:rsid w:val="000F602D"/>
    <w:rsid w:val="000F64E3"/>
    <w:rsid w:val="000F6DCB"/>
    <w:rsid w:val="000F7345"/>
    <w:rsid w:val="000F74A8"/>
    <w:rsid w:val="000F7B5B"/>
    <w:rsid w:val="000F7EE0"/>
    <w:rsid w:val="0010027D"/>
    <w:rsid w:val="00100418"/>
    <w:rsid w:val="00100675"/>
    <w:rsid w:val="001007F1"/>
    <w:rsid w:val="00100DBE"/>
    <w:rsid w:val="001011C8"/>
    <w:rsid w:val="0010138A"/>
    <w:rsid w:val="0010142F"/>
    <w:rsid w:val="00101578"/>
    <w:rsid w:val="001017BD"/>
    <w:rsid w:val="001021BA"/>
    <w:rsid w:val="00103082"/>
    <w:rsid w:val="0010334A"/>
    <w:rsid w:val="0010341B"/>
    <w:rsid w:val="00103461"/>
    <w:rsid w:val="00103A98"/>
    <w:rsid w:val="00104023"/>
    <w:rsid w:val="00104114"/>
    <w:rsid w:val="0010430A"/>
    <w:rsid w:val="001047D5"/>
    <w:rsid w:val="001048A2"/>
    <w:rsid w:val="00104DBE"/>
    <w:rsid w:val="00104E88"/>
    <w:rsid w:val="00104F36"/>
    <w:rsid w:val="00104FD4"/>
    <w:rsid w:val="001052B8"/>
    <w:rsid w:val="001056A4"/>
    <w:rsid w:val="00105754"/>
    <w:rsid w:val="00105893"/>
    <w:rsid w:val="00105D89"/>
    <w:rsid w:val="00105E15"/>
    <w:rsid w:val="00106083"/>
    <w:rsid w:val="0010610C"/>
    <w:rsid w:val="0010628A"/>
    <w:rsid w:val="00106C2F"/>
    <w:rsid w:val="001070D4"/>
    <w:rsid w:val="0010745D"/>
    <w:rsid w:val="00107E56"/>
    <w:rsid w:val="00110565"/>
    <w:rsid w:val="00110820"/>
    <w:rsid w:val="00110BBC"/>
    <w:rsid w:val="001113D5"/>
    <w:rsid w:val="00111415"/>
    <w:rsid w:val="001116C4"/>
    <w:rsid w:val="001119B5"/>
    <w:rsid w:val="00111CE1"/>
    <w:rsid w:val="00111DED"/>
    <w:rsid w:val="00112410"/>
    <w:rsid w:val="00112C4E"/>
    <w:rsid w:val="00112F2A"/>
    <w:rsid w:val="001130A8"/>
    <w:rsid w:val="001133F2"/>
    <w:rsid w:val="001136DB"/>
    <w:rsid w:val="001139E5"/>
    <w:rsid w:val="00113E16"/>
    <w:rsid w:val="00114404"/>
    <w:rsid w:val="001144A5"/>
    <w:rsid w:val="00114671"/>
    <w:rsid w:val="00114783"/>
    <w:rsid w:val="00114D45"/>
    <w:rsid w:val="00115003"/>
    <w:rsid w:val="001152AE"/>
    <w:rsid w:val="0011540B"/>
    <w:rsid w:val="0011598A"/>
    <w:rsid w:val="00115D4B"/>
    <w:rsid w:val="00116D3E"/>
    <w:rsid w:val="001171E5"/>
    <w:rsid w:val="00117488"/>
    <w:rsid w:val="0012038A"/>
    <w:rsid w:val="00120C04"/>
    <w:rsid w:val="00121368"/>
    <w:rsid w:val="0012224F"/>
    <w:rsid w:val="001223E2"/>
    <w:rsid w:val="00122528"/>
    <w:rsid w:val="00122C04"/>
    <w:rsid w:val="00122C92"/>
    <w:rsid w:val="0012353E"/>
    <w:rsid w:val="001235DC"/>
    <w:rsid w:val="00123A12"/>
    <w:rsid w:val="00124AAF"/>
    <w:rsid w:val="00124F4B"/>
    <w:rsid w:val="00124F4F"/>
    <w:rsid w:val="0012555F"/>
    <w:rsid w:val="001258B8"/>
    <w:rsid w:val="00126468"/>
    <w:rsid w:val="0012671B"/>
    <w:rsid w:val="00126771"/>
    <w:rsid w:val="001269F7"/>
    <w:rsid w:val="00126DCA"/>
    <w:rsid w:val="0012769F"/>
    <w:rsid w:val="00127B56"/>
    <w:rsid w:val="00130190"/>
    <w:rsid w:val="00130361"/>
    <w:rsid w:val="00130A43"/>
    <w:rsid w:val="00130AC5"/>
    <w:rsid w:val="0013173E"/>
    <w:rsid w:val="00131816"/>
    <w:rsid w:val="00131A4E"/>
    <w:rsid w:val="00131CB9"/>
    <w:rsid w:val="00131FD5"/>
    <w:rsid w:val="001322D7"/>
    <w:rsid w:val="0013277F"/>
    <w:rsid w:val="001330B3"/>
    <w:rsid w:val="001333E6"/>
    <w:rsid w:val="001338BC"/>
    <w:rsid w:val="001339DA"/>
    <w:rsid w:val="00134440"/>
    <w:rsid w:val="00134584"/>
    <w:rsid w:val="0013476E"/>
    <w:rsid w:val="001347ED"/>
    <w:rsid w:val="001349BA"/>
    <w:rsid w:val="00134CB1"/>
    <w:rsid w:val="00134D83"/>
    <w:rsid w:val="00134F7E"/>
    <w:rsid w:val="001351B4"/>
    <w:rsid w:val="00135588"/>
    <w:rsid w:val="00135A17"/>
    <w:rsid w:val="00135A7B"/>
    <w:rsid w:val="00135FF8"/>
    <w:rsid w:val="001361A1"/>
    <w:rsid w:val="0013627E"/>
    <w:rsid w:val="001362FC"/>
    <w:rsid w:val="001365FF"/>
    <w:rsid w:val="00137015"/>
    <w:rsid w:val="00137188"/>
    <w:rsid w:val="0013718A"/>
    <w:rsid w:val="00137342"/>
    <w:rsid w:val="0013747A"/>
    <w:rsid w:val="00137876"/>
    <w:rsid w:val="00137C57"/>
    <w:rsid w:val="00137FB9"/>
    <w:rsid w:val="0014003A"/>
    <w:rsid w:val="001401AE"/>
    <w:rsid w:val="00140260"/>
    <w:rsid w:val="00140C88"/>
    <w:rsid w:val="001417E1"/>
    <w:rsid w:val="00141CA3"/>
    <w:rsid w:val="00141F28"/>
    <w:rsid w:val="00141F84"/>
    <w:rsid w:val="001421AB"/>
    <w:rsid w:val="001428A7"/>
    <w:rsid w:val="001429E7"/>
    <w:rsid w:val="00142A8D"/>
    <w:rsid w:val="00142EDB"/>
    <w:rsid w:val="001433C4"/>
    <w:rsid w:val="0014398D"/>
    <w:rsid w:val="00143CDB"/>
    <w:rsid w:val="001445AE"/>
    <w:rsid w:val="00144BD5"/>
    <w:rsid w:val="00144E8F"/>
    <w:rsid w:val="001452C2"/>
    <w:rsid w:val="001455CE"/>
    <w:rsid w:val="00146344"/>
    <w:rsid w:val="00146F79"/>
    <w:rsid w:val="0014751A"/>
    <w:rsid w:val="0014785E"/>
    <w:rsid w:val="001501E4"/>
    <w:rsid w:val="00150427"/>
    <w:rsid w:val="00150C13"/>
    <w:rsid w:val="00150E0B"/>
    <w:rsid w:val="00150F2D"/>
    <w:rsid w:val="00151234"/>
    <w:rsid w:val="0015144C"/>
    <w:rsid w:val="0015190D"/>
    <w:rsid w:val="00152411"/>
    <w:rsid w:val="00152744"/>
    <w:rsid w:val="00152763"/>
    <w:rsid w:val="0015291D"/>
    <w:rsid w:val="0015297E"/>
    <w:rsid w:val="00152BE8"/>
    <w:rsid w:val="00152D05"/>
    <w:rsid w:val="0015305C"/>
    <w:rsid w:val="001532B3"/>
    <w:rsid w:val="00153B91"/>
    <w:rsid w:val="00153BE7"/>
    <w:rsid w:val="00153DD8"/>
    <w:rsid w:val="001540C8"/>
    <w:rsid w:val="0015432C"/>
    <w:rsid w:val="00154480"/>
    <w:rsid w:val="0015478B"/>
    <w:rsid w:val="00154EFD"/>
    <w:rsid w:val="00155052"/>
    <w:rsid w:val="0015531B"/>
    <w:rsid w:val="001559C9"/>
    <w:rsid w:val="0015663D"/>
    <w:rsid w:val="0015691D"/>
    <w:rsid w:val="00156DAC"/>
    <w:rsid w:val="0016002A"/>
    <w:rsid w:val="001602B8"/>
    <w:rsid w:val="00160685"/>
    <w:rsid w:val="001606F5"/>
    <w:rsid w:val="0016074F"/>
    <w:rsid w:val="001607AF"/>
    <w:rsid w:val="001608C8"/>
    <w:rsid w:val="00160DB9"/>
    <w:rsid w:val="00160E2C"/>
    <w:rsid w:val="00161064"/>
    <w:rsid w:val="00161175"/>
    <w:rsid w:val="0016176D"/>
    <w:rsid w:val="00162229"/>
    <w:rsid w:val="00162D7A"/>
    <w:rsid w:val="00162DD4"/>
    <w:rsid w:val="00162E83"/>
    <w:rsid w:val="001630AE"/>
    <w:rsid w:val="001635F3"/>
    <w:rsid w:val="001638D7"/>
    <w:rsid w:val="00163D0D"/>
    <w:rsid w:val="00163E22"/>
    <w:rsid w:val="00164721"/>
    <w:rsid w:val="00165285"/>
    <w:rsid w:val="00165709"/>
    <w:rsid w:val="00165D75"/>
    <w:rsid w:val="00165DD6"/>
    <w:rsid w:val="00165E5A"/>
    <w:rsid w:val="001666C3"/>
    <w:rsid w:val="00166BD6"/>
    <w:rsid w:val="00166C0B"/>
    <w:rsid w:val="00167D69"/>
    <w:rsid w:val="00167FFB"/>
    <w:rsid w:val="00170984"/>
    <w:rsid w:val="00170F03"/>
    <w:rsid w:val="0017194A"/>
    <w:rsid w:val="00171FAE"/>
    <w:rsid w:val="001725E8"/>
    <w:rsid w:val="00172BFE"/>
    <w:rsid w:val="00172EEA"/>
    <w:rsid w:val="001732C7"/>
    <w:rsid w:val="00173749"/>
    <w:rsid w:val="001739C7"/>
    <w:rsid w:val="0017414F"/>
    <w:rsid w:val="00174A47"/>
    <w:rsid w:val="00174ED0"/>
    <w:rsid w:val="0017570B"/>
    <w:rsid w:val="00175C54"/>
    <w:rsid w:val="001760C3"/>
    <w:rsid w:val="00176151"/>
    <w:rsid w:val="001764C3"/>
    <w:rsid w:val="00176BF8"/>
    <w:rsid w:val="001770EF"/>
    <w:rsid w:val="0017719A"/>
    <w:rsid w:val="001774EE"/>
    <w:rsid w:val="00177593"/>
    <w:rsid w:val="00177598"/>
    <w:rsid w:val="001777DA"/>
    <w:rsid w:val="00177944"/>
    <w:rsid w:val="00177DEB"/>
    <w:rsid w:val="0018035B"/>
    <w:rsid w:val="001808B5"/>
    <w:rsid w:val="001819AB"/>
    <w:rsid w:val="00181AC9"/>
    <w:rsid w:val="00182072"/>
    <w:rsid w:val="001820F0"/>
    <w:rsid w:val="001825C9"/>
    <w:rsid w:val="001830E5"/>
    <w:rsid w:val="0018408C"/>
    <w:rsid w:val="001847B4"/>
    <w:rsid w:val="00184A93"/>
    <w:rsid w:val="00184F1F"/>
    <w:rsid w:val="001853D0"/>
    <w:rsid w:val="001853D7"/>
    <w:rsid w:val="00185687"/>
    <w:rsid w:val="00185698"/>
    <w:rsid w:val="001856EA"/>
    <w:rsid w:val="001857C0"/>
    <w:rsid w:val="00186237"/>
    <w:rsid w:val="00186356"/>
    <w:rsid w:val="001868F6"/>
    <w:rsid w:val="0018691C"/>
    <w:rsid w:val="001871EA"/>
    <w:rsid w:val="001876B0"/>
    <w:rsid w:val="001879A9"/>
    <w:rsid w:val="00187AB3"/>
    <w:rsid w:val="00187CFB"/>
    <w:rsid w:val="00187EA5"/>
    <w:rsid w:val="00190072"/>
    <w:rsid w:val="001913B1"/>
    <w:rsid w:val="0019193B"/>
    <w:rsid w:val="00191A16"/>
    <w:rsid w:val="00191B5D"/>
    <w:rsid w:val="00192099"/>
    <w:rsid w:val="0019240F"/>
    <w:rsid w:val="00192451"/>
    <w:rsid w:val="0019258E"/>
    <w:rsid w:val="00192864"/>
    <w:rsid w:val="00192C81"/>
    <w:rsid w:val="001931B8"/>
    <w:rsid w:val="00193247"/>
    <w:rsid w:val="0019358C"/>
    <w:rsid w:val="001942DA"/>
    <w:rsid w:val="001948D6"/>
    <w:rsid w:val="00194FD5"/>
    <w:rsid w:val="00195E9F"/>
    <w:rsid w:val="00195F49"/>
    <w:rsid w:val="00196167"/>
    <w:rsid w:val="00196309"/>
    <w:rsid w:val="0019664A"/>
    <w:rsid w:val="0019674B"/>
    <w:rsid w:val="00196762"/>
    <w:rsid w:val="00196F0A"/>
    <w:rsid w:val="001972EA"/>
    <w:rsid w:val="001972FE"/>
    <w:rsid w:val="00197A57"/>
    <w:rsid w:val="001A044F"/>
    <w:rsid w:val="001A060F"/>
    <w:rsid w:val="001A06D5"/>
    <w:rsid w:val="001A1291"/>
    <w:rsid w:val="001A1551"/>
    <w:rsid w:val="001A1748"/>
    <w:rsid w:val="001A17D2"/>
    <w:rsid w:val="001A1F9B"/>
    <w:rsid w:val="001A2A30"/>
    <w:rsid w:val="001A32C1"/>
    <w:rsid w:val="001A33AC"/>
    <w:rsid w:val="001A4124"/>
    <w:rsid w:val="001A4206"/>
    <w:rsid w:val="001A46C8"/>
    <w:rsid w:val="001A4859"/>
    <w:rsid w:val="001A4A6F"/>
    <w:rsid w:val="001A4D6F"/>
    <w:rsid w:val="001A4F07"/>
    <w:rsid w:val="001A5588"/>
    <w:rsid w:val="001A5814"/>
    <w:rsid w:val="001A6CCC"/>
    <w:rsid w:val="001A6E3B"/>
    <w:rsid w:val="001A72F4"/>
    <w:rsid w:val="001B00D5"/>
    <w:rsid w:val="001B041D"/>
    <w:rsid w:val="001B04B0"/>
    <w:rsid w:val="001B04F9"/>
    <w:rsid w:val="001B08A5"/>
    <w:rsid w:val="001B0E24"/>
    <w:rsid w:val="001B1279"/>
    <w:rsid w:val="001B13DC"/>
    <w:rsid w:val="001B14C6"/>
    <w:rsid w:val="001B2118"/>
    <w:rsid w:val="001B233F"/>
    <w:rsid w:val="001B2340"/>
    <w:rsid w:val="001B237A"/>
    <w:rsid w:val="001B24CF"/>
    <w:rsid w:val="001B26BD"/>
    <w:rsid w:val="001B329A"/>
    <w:rsid w:val="001B3B98"/>
    <w:rsid w:val="001B3DD4"/>
    <w:rsid w:val="001B449A"/>
    <w:rsid w:val="001B48AF"/>
    <w:rsid w:val="001B49F1"/>
    <w:rsid w:val="001B4B5D"/>
    <w:rsid w:val="001B4C2F"/>
    <w:rsid w:val="001B5ABA"/>
    <w:rsid w:val="001B615F"/>
    <w:rsid w:val="001B62A5"/>
    <w:rsid w:val="001B6E90"/>
    <w:rsid w:val="001B7098"/>
    <w:rsid w:val="001B71F0"/>
    <w:rsid w:val="001B7238"/>
    <w:rsid w:val="001B7CCF"/>
    <w:rsid w:val="001B7D19"/>
    <w:rsid w:val="001B7DB5"/>
    <w:rsid w:val="001C0075"/>
    <w:rsid w:val="001C010F"/>
    <w:rsid w:val="001C0411"/>
    <w:rsid w:val="001C06B0"/>
    <w:rsid w:val="001C0845"/>
    <w:rsid w:val="001C0FD4"/>
    <w:rsid w:val="001C19CB"/>
    <w:rsid w:val="001C1D09"/>
    <w:rsid w:val="001C20C8"/>
    <w:rsid w:val="001C2325"/>
    <w:rsid w:val="001C2541"/>
    <w:rsid w:val="001C2DE0"/>
    <w:rsid w:val="001C328C"/>
    <w:rsid w:val="001C34E7"/>
    <w:rsid w:val="001C3502"/>
    <w:rsid w:val="001C3B47"/>
    <w:rsid w:val="001C3B57"/>
    <w:rsid w:val="001C3D25"/>
    <w:rsid w:val="001C476E"/>
    <w:rsid w:val="001C47D1"/>
    <w:rsid w:val="001C4B70"/>
    <w:rsid w:val="001C4CA0"/>
    <w:rsid w:val="001C4D3B"/>
    <w:rsid w:val="001C4F64"/>
    <w:rsid w:val="001C5665"/>
    <w:rsid w:val="001C5887"/>
    <w:rsid w:val="001C5E2F"/>
    <w:rsid w:val="001C620C"/>
    <w:rsid w:val="001C670B"/>
    <w:rsid w:val="001C67E2"/>
    <w:rsid w:val="001C6B70"/>
    <w:rsid w:val="001C6BBE"/>
    <w:rsid w:val="001C708A"/>
    <w:rsid w:val="001D01AD"/>
    <w:rsid w:val="001D0374"/>
    <w:rsid w:val="001D038F"/>
    <w:rsid w:val="001D074B"/>
    <w:rsid w:val="001D076E"/>
    <w:rsid w:val="001D09B4"/>
    <w:rsid w:val="001D11CB"/>
    <w:rsid w:val="001D11E3"/>
    <w:rsid w:val="001D125A"/>
    <w:rsid w:val="001D12B5"/>
    <w:rsid w:val="001D1442"/>
    <w:rsid w:val="001D14BF"/>
    <w:rsid w:val="001D2140"/>
    <w:rsid w:val="001D2152"/>
    <w:rsid w:val="001D235D"/>
    <w:rsid w:val="001D2578"/>
    <w:rsid w:val="001D26E5"/>
    <w:rsid w:val="001D2BC6"/>
    <w:rsid w:val="001D2C00"/>
    <w:rsid w:val="001D3BA8"/>
    <w:rsid w:val="001D3EC1"/>
    <w:rsid w:val="001D4210"/>
    <w:rsid w:val="001D4599"/>
    <w:rsid w:val="001D4A2E"/>
    <w:rsid w:val="001D4A68"/>
    <w:rsid w:val="001D4C03"/>
    <w:rsid w:val="001D5140"/>
    <w:rsid w:val="001D570C"/>
    <w:rsid w:val="001D594F"/>
    <w:rsid w:val="001D5C4C"/>
    <w:rsid w:val="001D5CA1"/>
    <w:rsid w:val="001D5CA2"/>
    <w:rsid w:val="001D63D1"/>
    <w:rsid w:val="001D6A38"/>
    <w:rsid w:val="001D6CE0"/>
    <w:rsid w:val="001D7A9D"/>
    <w:rsid w:val="001E0198"/>
    <w:rsid w:val="001E092E"/>
    <w:rsid w:val="001E0B46"/>
    <w:rsid w:val="001E0D34"/>
    <w:rsid w:val="001E0DF2"/>
    <w:rsid w:val="001E1362"/>
    <w:rsid w:val="001E151D"/>
    <w:rsid w:val="001E16BE"/>
    <w:rsid w:val="001E1A9F"/>
    <w:rsid w:val="001E1B70"/>
    <w:rsid w:val="001E1E49"/>
    <w:rsid w:val="001E2172"/>
    <w:rsid w:val="001E255F"/>
    <w:rsid w:val="001E28B0"/>
    <w:rsid w:val="001E3574"/>
    <w:rsid w:val="001E3E83"/>
    <w:rsid w:val="001E44A9"/>
    <w:rsid w:val="001E4525"/>
    <w:rsid w:val="001E4DF5"/>
    <w:rsid w:val="001E52F8"/>
    <w:rsid w:val="001E53FD"/>
    <w:rsid w:val="001E5D34"/>
    <w:rsid w:val="001E5EBD"/>
    <w:rsid w:val="001E5EC6"/>
    <w:rsid w:val="001E64B7"/>
    <w:rsid w:val="001E6508"/>
    <w:rsid w:val="001E6548"/>
    <w:rsid w:val="001E66AE"/>
    <w:rsid w:val="001E6AF0"/>
    <w:rsid w:val="001E6EB7"/>
    <w:rsid w:val="001E6EBF"/>
    <w:rsid w:val="001E7485"/>
    <w:rsid w:val="001E7B51"/>
    <w:rsid w:val="001E7CEA"/>
    <w:rsid w:val="001F09A0"/>
    <w:rsid w:val="001F0B06"/>
    <w:rsid w:val="001F0BBD"/>
    <w:rsid w:val="001F115E"/>
    <w:rsid w:val="001F1813"/>
    <w:rsid w:val="001F1A09"/>
    <w:rsid w:val="001F22B9"/>
    <w:rsid w:val="001F2716"/>
    <w:rsid w:val="001F2994"/>
    <w:rsid w:val="001F2C66"/>
    <w:rsid w:val="001F2F12"/>
    <w:rsid w:val="001F333C"/>
    <w:rsid w:val="001F37D6"/>
    <w:rsid w:val="001F3D26"/>
    <w:rsid w:val="001F4776"/>
    <w:rsid w:val="001F4A79"/>
    <w:rsid w:val="001F4B12"/>
    <w:rsid w:val="001F4CB4"/>
    <w:rsid w:val="001F530E"/>
    <w:rsid w:val="001F53A5"/>
    <w:rsid w:val="001F5720"/>
    <w:rsid w:val="001F692F"/>
    <w:rsid w:val="001F73CE"/>
    <w:rsid w:val="001F73E8"/>
    <w:rsid w:val="001F78B9"/>
    <w:rsid w:val="001F7E12"/>
    <w:rsid w:val="002000D3"/>
    <w:rsid w:val="00200160"/>
    <w:rsid w:val="0020027A"/>
    <w:rsid w:val="00200923"/>
    <w:rsid w:val="00201401"/>
    <w:rsid w:val="0020199A"/>
    <w:rsid w:val="00201CDB"/>
    <w:rsid w:val="00201D22"/>
    <w:rsid w:val="00202059"/>
    <w:rsid w:val="002020EC"/>
    <w:rsid w:val="00202343"/>
    <w:rsid w:val="00202AD9"/>
    <w:rsid w:val="0020309F"/>
    <w:rsid w:val="002031BE"/>
    <w:rsid w:val="00203468"/>
    <w:rsid w:val="00203AE8"/>
    <w:rsid w:val="00203CC3"/>
    <w:rsid w:val="00204389"/>
    <w:rsid w:val="00204407"/>
    <w:rsid w:val="00204C01"/>
    <w:rsid w:val="00204EBE"/>
    <w:rsid w:val="00205457"/>
    <w:rsid w:val="002056CF"/>
    <w:rsid w:val="00205995"/>
    <w:rsid w:val="0020678B"/>
    <w:rsid w:val="00206D4A"/>
    <w:rsid w:val="00207C88"/>
    <w:rsid w:val="00207D67"/>
    <w:rsid w:val="002100AC"/>
    <w:rsid w:val="00210CF9"/>
    <w:rsid w:val="002115D4"/>
    <w:rsid w:val="00211B49"/>
    <w:rsid w:val="00211C67"/>
    <w:rsid w:val="002124CB"/>
    <w:rsid w:val="00212963"/>
    <w:rsid w:val="00212C2F"/>
    <w:rsid w:val="00213109"/>
    <w:rsid w:val="002141B7"/>
    <w:rsid w:val="002145D1"/>
    <w:rsid w:val="0021481E"/>
    <w:rsid w:val="00214A36"/>
    <w:rsid w:val="002158DD"/>
    <w:rsid w:val="00215A3B"/>
    <w:rsid w:val="00215D0D"/>
    <w:rsid w:val="00216315"/>
    <w:rsid w:val="0021761B"/>
    <w:rsid w:val="00217878"/>
    <w:rsid w:val="00217916"/>
    <w:rsid w:val="00217CD3"/>
    <w:rsid w:val="00217D79"/>
    <w:rsid w:val="00220367"/>
    <w:rsid w:val="002203BA"/>
    <w:rsid w:val="00220C37"/>
    <w:rsid w:val="002211B1"/>
    <w:rsid w:val="0022127D"/>
    <w:rsid w:val="00221A46"/>
    <w:rsid w:val="002223D6"/>
    <w:rsid w:val="002229A6"/>
    <w:rsid w:val="00222D16"/>
    <w:rsid w:val="00222DD0"/>
    <w:rsid w:val="00222FE4"/>
    <w:rsid w:val="00223054"/>
    <w:rsid w:val="00223656"/>
    <w:rsid w:val="00223C20"/>
    <w:rsid w:val="00223DA9"/>
    <w:rsid w:val="00224017"/>
    <w:rsid w:val="00224B26"/>
    <w:rsid w:val="00224E30"/>
    <w:rsid w:val="002250DA"/>
    <w:rsid w:val="002251B8"/>
    <w:rsid w:val="002253B1"/>
    <w:rsid w:val="00225992"/>
    <w:rsid w:val="002262FA"/>
    <w:rsid w:val="00226496"/>
    <w:rsid w:val="002269EF"/>
    <w:rsid w:val="00227040"/>
    <w:rsid w:val="00230BBB"/>
    <w:rsid w:val="00230F9B"/>
    <w:rsid w:val="00231554"/>
    <w:rsid w:val="00231D49"/>
    <w:rsid w:val="00231F38"/>
    <w:rsid w:val="00232DDB"/>
    <w:rsid w:val="002333E3"/>
    <w:rsid w:val="00233471"/>
    <w:rsid w:val="002339D2"/>
    <w:rsid w:val="00233EA0"/>
    <w:rsid w:val="00234A91"/>
    <w:rsid w:val="00234AA1"/>
    <w:rsid w:val="002351AF"/>
    <w:rsid w:val="0023563D"/>
    <w:rsid w:val="0023564D"/>
    <w:rsid w:val="00235A38"/>
    <w:rsid w:val="00235BEA"/>
    <w:rsid w:val="00236438"/>
    <w:rsid w:val="00236833"/>
    <w:rsid w:val="00236BD9"/>
    <w:rsid w:val="00236D39"/>
    <w:rsid w:val="00236E37"/>
    <w:rsid w:val="002372B5"/>
    <w:rsid w:val="002375BD"/>
    <w:rsid w:val="00237940"/>
    <w:rsid w:val="00237B7F"/>
    <w:rsid w:val="00237FA0"/>
    <w:rsid w:val="00240CE0"/>
    <w:rsid w:val="00241F1B"/>
    <w:rsid w:val="0024273A"/>
    <w:rsid w:val="002428CB"/>
    <w:rsid w:val="00242B5A"/>
    <w:rsid w:val="00242B6F"/>
    <w:rsid w:val="002434DB"/>
    <w:rsid w:val="00243E85"/>
    <w:rsid w:val="002449CD"/>
    <w:rsid w:val="00244D96"/>
    <w:rsid w:val="00244F08"/>
    <w:rsid w:val="00246044"/>
    <w:rsid w:val="002464ED"/>
    <w:rsid w:val="002469CF"/>
    <w:rsid w:val="00247612"/>
    <w:rsid w:val="00247696"/>
    <w:rsid w:val="00247F76"/>
    <w:rsid w:val="0025024C"/>
    <w:rsid w:val="0025069F"/>
    <w:rsid w:val="0025096D"/>
    <w:rsid w:val="00250B9C"/>
    <w:rsid w:val="00251293"/>
    <w:rsid w:val="00251931"/>
    <w:rsid w:val="00251FED"/>
    <w:rsid w:val="00252251"/>
    <w:rsid w:val="00252B4C"/>
    <w:rsid w:val="002530C9"/>
    <w:rsid w:val="002536E0"/>
    <w:rsid w:val="00253D7C"/>
    <w:rsid w:val="00253EB5"/>
    <w:rsid w:val="00253FEC"/>
    <w:rsid w:val="00254634"/>
    <w:rsid w:val="002546CD"/>
    <w:rsid w:val="0025489B"/>
    <w:rsid w:val="00254BED"/>
    <w:rsid w:val="00254F5B"/>
    <w:rsid w:val="0025569D"/>
    <w:rsid w:val="00255F48"/>
    <w:rsid w:val="002566F5"/>
    <w:rsid w:val="00256720"/>
    <w:rsid w:val="0025678A"/>
    <w:rsid w:val="00256A8B"/>
    <w:rsid w:val="002572F7"/>
    <w:rsid w:val="0025732A"/>
    <w:rsid w:val="0026020D"/>
    <w:rsid w:val="00260853"/>
    <w:rsid w:val="00260F3A"/>
    <w:rsid w:val="0026140C"/>
    <w:rsid w:val="00261CEF"/>
    <w:rsid w:val="00261E9B"/>
    <w:rsid w:val="00261F4D"/>
    <w:rsid w:val="00262182"/>
    <w:rsid w:val="002621FE"/>
    <w:rsid w:val="002623F2"/>
    <w:rsid w:val="0026254D"/>
    <w:rsid w:val="0026259E"/>
    <w:rsid w:val="00262BCE"/>
    <w:rsid w:val="00262C08"/>
    <w:rsid w:val="00262ED4"/>
    <w:rsid w:val="002636EF"/>
    <w:rsid w:val="00263A59"/>
    <w:rsid w:val="00263BBD"/>
    <w:rsid w:val="00263F2C"/>
    <w:rsid w:val="0026415C"/>
    <w:rsid w:val="00264360"/>
    <w:rsid w:val="00264C7C"/>
    <w:rsid w:val="002652D2"/>
    <w:rsid w:val="00265741"/>
    <w:rsid w:val="0026621F"/>
    <w:rsid w:val="002663F1"/>
    <w:rsid w:val="00266B2A"/>
    <w:rsid w:val="00266D4A"/>
    <w:rsid w:val="0026711F"/>
    <w:rsid w:val="002673E4"/>
    <w:rsid w:val="00267428"/>
    <w:rsid w:val="00267624"/>
    <w:rsid w:val="002676EF"/>
    <w:rsid w:val="00267BD9"/>
    <w:rsid w:val="0027048C"/>
    <w:rsid w:val="002704B4"/>
    <w:rsid w:val="00270CB8"/>
    <w:rsid w:val="00271211"/>
    <w:rsid w:val="002712F8"/>
    <w:rsid w:val="00271D89"/>
    <w:rsid w:val="002720BC"/>
    <w:rsid w:val="00272113"/>
    <w:rsid w:val="002722FA"/>
    <w:rsid w:val="00272829"/>
    <w:rsid w:val="00272A91"/>
    <w:rsid w:val="00272DF7"/>
    <w:rsid w:val="00272EE4"/>
    <w:rsid w:val="002730B4"/>
    <w:rsid w:val="002735E0"/>
    <w:rsid w:val="00273801"/>
    <w:rsid w:val="00273D14"/>
    <w:rsid w:val="0027451E"/>
    <w:rsid w:val="00274F8B"/>
    <w:rsid w:val="002752D6"/>
    <w:rsid w:val="00275634"/>
    <w:rsid w:val="00275B53"/>
    <w:rsid w:val="00275B75"/>
    <w:rsid w:val="00275FEC"/>
    <w:rsid w:val="00276516"/>
    <w:rsid w:val="002769AC"/>
    <w:rsid w:val="00276C1C"/>
    <w:rsid w:val="002771EE"/>
    <w:rsid w:val="00277E99"/>
    <w:rsid w:val="00277F2B"/>
    <w:rsid w:val="002801D8"/>
    <w:rsid w:val="00280377"/>
    <w:rsid w:val="002809D3"/>
    <w:rsid w:val="002814A2"/>
    <w:rsid w:val="0028160D"/>
    <w:rsid w:val="00281B26"/>
    <w:rsid w:val="00281D16"/>
    <w:rsid w:val="00282045"/>
    <w:rsid w:val="0028280D"/>
    <w:rsid w:val="00282B38"/>
    <w:rsid w:val="00282D19"/>
    <w:rsid w:val="00282F3A"/>
    <w:rsid w:val="0028391E"/>
    <w:rsid w:val="00283960"/>
    <w:rsid w:val="00283F11"/>
    <w:rsid w:val="00284662"/>
    <w:rsid w:val="002846B9"/>
    <w:rsid w:val="00284B11"/>
    <w:rsid w:val="00285037"/>
    <w:rsid w:val="00285101"/>
    <w:rsid w:val="00285302"/>
    <w:rsid w:val="002864BC"/>
    <w:rsid w:val="00286B99"/>
    <w:rsid w:val="00286E07"/>
    <w:rsid w:val="00286FD5"/>
    <w:rsid w:val="0028704C"/>
    <w:rsid w:val="00287294"/>
    <w:rsid w:val="00287855"/>
    <w:rsid w:val="00287F8D"/>
    <w:rsid w:val="002900F9"/>
    <w:rsid w:val="0029034B"/>
    <w:rsid w:val="00290437"/>
    <w:rsid w:val="00290619"/>
    <w:rsid w:val="00290AD7"/>
    <w:rsid w:val="00290DF7"/>
    <w:rsid w:val="002916FF"/>
    <w:rsid w:val="00291A43"/>
    <w:rsid w:val="00291CD5"/>
    <w:rsid w:val="0029235A"/>
    <w:rsid w:val="0029253D"/>
    <w:rsid w:val="00292666"/>
    <w:rsid w:val="00292874"/>
    <w:rsid w:val="002928AC"/>
    <w:rsid w:val="00292A54"/>
    <w:rsid w:val="00292B5A"/>
    <w:rsid w:val="00292E63"/>
    <w:rsid w:val="00292FBB"/>
    <w:rsid w:val="002938D7"/>
    <w:rsid w:val="00293942"/>
    <w:rsid w:val="00293BA5"/>
    <w:rsid w:val="00293E37"/>
    <w:rsid w:val="00293E74"/>
    <w:rsid w:val="002942D5"/>
    <w:rsid w:val="00294749"/>
    <w:rsid w:val="00295145"/>
    <w:rsid w:val="00295322"/>
    <w:rsid w:val="00295604"/>
    <w:rsid w:val="0029591A"/>
    <w:rsid w:val="00295B13"/>
    <w:rsid w:val="002964D8"/>
    <w:rsid w:val="002965A5"/>
    <w:rsid w:val="00296704"/>
    <w:rsid w:val="0029674B"/>
    <w:rsid w:val="002968DD"/>
    <w:rsid w:val="00296CC9"/>
    <w:rsid w:val="00296CE4"/>
    <w:rsid w:val="00297140"/>
    <w:rsid w:val="002975CB"/>
    <w:rsid w:val="002976C0"/>
    <w:rsid w:val="00297A32"/>
    <w:rsid w:val="00297C8F"/>
    <w:rsid w:val="00297D80"/>
    <w:rsid w:val="00297E79"/>
    <w:rsid w:val="002A0144"/>
    <w:rsid w:val="002A0516"/>
    <w:rsid w:val="002A0536"/>
    <w:rsid w:val="002A0601"/>
    <w:rsid w:val="002A1318"/>
    <w:rsid w:val="002A1946"/>
    <w:rsid w:val="002A20B3"/>
    <w:rsid w:val="002A2358"/>
    <w:rsid w:val="002A2391"/>
    <w:rsid w:val="002A26AA"/>
    <w:rsid w:val="002A2F20"/>
    <w:rsid w:val="002A3075"/>
    <w:rsid w:val="002A318D"/>
    <w:rsid w:val="002A3500"/>
    <w:rsid w:val="002A352E"/>
    <w:rsid w:val="002A35A3"/>
    <w:rsid w:val="002A370C"/>
    <w:rsid w:val="002A3B0D"/>
    <w:rsid w:val="002A3EBF"/>
    <w:rsid w:val="002A4971"/>
    <w:rsid w:val="002A4DB8"/>
    <w:rsid w:val="002A5062"/>
    <w:rsid w:val="002A5311"/>
    <w:rsid w:val="002A565A"/>
    <w:rsid w:val="002A56C1"/>
    <w:rsid w:val="002A5AE5"/>
    <w:rsid w:val="002A5EBE"/>
    <w:rsid w:val="002A5EE4"/>
    <w:rsid w:val="002A695B"/>
    <w:rsid w:val="002A6A33"/>
    <w:rsid w:val="002A6CAF"/>
    <w:rsid w:val="002A73CA"/>
    <w:rsid w:val="002B014F"/>
    <w:rsid w:val="002B02D5"/>
    <w:rsid w:val="002B0445"/>
    <w:rsid w:val="002B0745"/>
    <w:rsid w:val="002B0A87"/>
    <w:rsid w:val="002B1021"/>
    <w:rsid w:val="002B11AC"/>
    <w:rsid w:val="002B12F6"/>
    <w:rsid w:val="002B1391"/>
    <w:rsid w:val="002B13F9"/>
    <w:rsid w:val="002B1B1F"/>
    <w:rsid w:val="002B1B80"/>
    <w:rsid w:val="002B1C88"/>
    <w:rsid w:val="002B1EA6"/>
    <w:rsid w:val="002B23BC"/>
    <w:rsid w:val="002B245E"/>
    <w:rsid w:val="002B2594"/>
    <w:rsid w:val="002B3638"/>
    <w:rsid w:val="002B3893"/>
    <w:rsid w:val="002B3EDF"/>
    <w:rsid w:val="002B40A5"/>
    <w:rsid w:val="002B4533"/>
    <w:rsid w:val="002B4CE7"/>
    <w:rsid w:val="002B6066"/>
    <w:rsid w:val="002B614A"/>
    <w:rsid w:val="002B66C4"/>
    <w:rsid w:val="002B6802"/>
    <w:rsid w:val="002B68D3"/>
    <w:rsid w:val="002B69F3"/>
    <w:rsid w:val="002B6DE4"/>
    <w:rsid w:val="002B6FDC"/>
    <w:rsid w:val="002B73BF"/>
    <w:rsid w:val="002B73E0"/>
    <w:rsid w:val="002B7A7B"/>
    <w:rsid w:val="002B7D0C"/>
    <w:rsid w:val="002B7D1E"/>
    <w:rsid w:val="002C02D8"/>
    <w:rsid w:val="002C09BD"/>
    <w:rsid w:val="002C09DA"/>
    <w:rsid w:val="002C0AD3"/>
    <w:rsid w:val="002C0DC9"/>
    <w:rsid w:val="002C0E31"/>
    <w:rsid w:val="002C0E44"/>
    <w:rsid w:val="002C1135"/>
    <w:rsid w:val="002C12ED"/>
    <w:rsid w:val="002C1523"/>
    <w:rsid w:val="002C1B65"/>
    <w:rsid w:val="002C1BF4"/>
    <w:rsid w:val="002C1F53"/>
    <w:rsid w:val="002C1FAF"/>
    <w:rsid w:val="002C29E0"/>
    <w:rsid w:val="002C2B23"/>
    <w:rsid w:val="002C2DB5"/>
    <w:rsid w:val="002C31B4"/>
    <w:rsid w:val="002C3264"/>
    <w:rsid w:val="002C3319"/>
    <w:rsid w:val="002C3A8D"/>
    <w:rsid w:val="002C3D4A"/>
    <w:rsid w:val="002C460F"/>
    <w:rsid w:val="002C4952"/>
    <w:rsid w:val="002C4D50"/>
    <w:rsid w:val="002C4DC6"/>
    <w:rsid w:val="002C512A"/>
    <w:rsid w:val="002C51BE"/>
    <w:rsid w:val="002C5390"/>
    <w:rsid w:val="002C55C8"/>
    <w:rsid w:val="002C5FF3"/>
    <w:rsid w:val="002C6D98"/>
    <w:rsid w:val="002C6DAF"/>
    <w:rsid w:val="002C6E45"/>
    <w:rsid w:val="002C74C3"/>
    <w:rsid w:val="002C7603"/>
    <w:rsid w:val="002C784F"/>
    <w:rsid w:val="002C7AC9"/>
    <w:rsid w:val="002C7E4E"/>
    <w:rsid w:val="002C7F34"/>
    <w:rsid w:val="002D08AF"/>
    <w:rsid w:val="002D0C64"/>
    <w:rsid w:val="002D1570"/>
    <w:rsid w:val="002D1698"/>
    <w:rsid w:val="002D17B3"/>
    <w:rsid w:val="002D17F1"/>
    <w:rsid w:val="002D1BD8"/>
    <w:rsid w:val="002D2424"/>
    <w:rsid w:val="002D28CA"/>
    <w:rsid w:val="002D2A4B"/>
    <w:rsid w:val="002D2A97"/>
    <w:rsid w:val="002D2BC5"/>
    <w:rsid w:val="002D2EA9"/>
    <w:rsid w:val="002D35E3"/>
    <w:rsid w:val="002D37EC"/>
    <w:rsid w:val="002D384C"/>
    <w:rsid w:val="002D3904"/>
    <w:rsid w:val="002D3924"/>
    <w:rsid w:val="002D3B7E"/>
    <w:rsid w:val="002D3F1F"/>
    <w:rsid w:val="002D480D"/>
    <w:rsid w:val="002D4A97"/>
    <w:rsid w:val="002D5114"/>
    <w:rsid w:val="002D5A0D"/>
    <w:rsid w:val="002D5CC2"/>
    <w:rsid w:val="002D5D86"/>
    <w:rsid w:val="002D5F78"/>
    <w:rsid w:val="002D6001"/>
    <w:rsid w:val="002D65F4"/>
    <w:rsid w:val="002D6CFB"/>
    <w:rsid w:val="002E007E"/>
    <w:rsid w:val="002E0DDD"/>
    <w:rsid w:val="002E0EEA"/>
    <w:rsid w:val="002E1377"/>
    <w:rsid w:val="002E1D55"/>
    <w:rsid w:val="002E2195"/>
    <w:rsid w:val="002E2557"/>
    <w:rsid w:val="002E2710"/>
    <w:rsid w:val="002E34F9"/>
    <w:rsid w:val="002E38F5"/>
    <w:rsid w:val="002E4167"/>
    <w:rsid w:val="002E46DB"/>
    <w:rsid w:val="002E4D4B"/>
    <w:rsid w:val="002E55AC"/>
    <w:rsid w:val="002E6008"/>
    <w:rsid w:val="002E60B3"/>
    <w:rsid w:val="002E65BA"/>
    <w:rsid w:val="002E6618"/>
    <w:rsid w:val="002E6E1B"/>
    <w:rsid w:val="002E7192"/>
    <w:rsid w:val="002E770F"/>
    <w:rsid w:val="002E7C83"/>
    <w:rsid w:val="002E7FE3"/>
    <w:rsid w:val="002F0938"/>
    <w:rsid w:val="002F0E09"/>
    <w:rsid w:val="002F1D31"/>
    <w:rsid w:val="002F1E6E"/>
    <w:rsid w:val="002F23F5"/>
    <w:rsid w:val="002F28D2"/>
    <w:rsid w:val="002F3774"/>
    <w:rsid w:val="002F407E"/>
    <w:rsid w:val="002F4139"/>
    <w:rsid w:val="002F4935"/>
    <w:rsid w:val="002F4B32"/>
    <w:rsid w:val="002F4E9D"/>
    <w:rsid w:val="002F5881"/>
    <w:rsid w:val="002F7187"/>
    <w:rsid w:val="002F771D"/>
    <w:rsid w:val="002F78AE"/>
    <w:rsid w:val="002F78F8"/>
    <w:rsid w:val="002F7982"/>
    <w:rsid w:val="002F7E9B"/>
    <w:rsid w:val="002F7EC2"/>
    <w:rsid w:val="00300195"/>
    <w:rsid w:val="003004EC"/>
    <w:rsid w:val="00300515"/>
    <w:rsid w:val="00300750"/>
    <w:rsid w:val="00300CEB"/>
    <w:rsid w:val="00300ECD"/>
    <w:rsid w:val="003012DF"/>
    <w:rsid w:val="00301338"/>
    <w:rsid w:val="00301771"/>
    <w:rsid w:val="00301C90"/>
    <w:rsid w:val="00301D8E"/>
    <w:rsid w:val="00301E44"/>
    <w:rsid w:val="00301E7F"/>
    <w:rsid w:val="0030237A"/>
    <w:rsid w:val="00302412"/>
    <w:rsid w:val="00302496"/>
    <w:rsid w:val="00302747"/>
    <w:rsid w:val="00302AA6"/>
    <w:rsid w:val="00302AAB"/>
    <w:rsid w:val="00302B4B"/>
    <w:rsid w:val="00302CA6"/>
    <w:rsid w:val="00303088"/>
    <w:rsid w:val="003031FB"/>
    <w:rsid w:val="0030322B"/>
    <w:rsid w:val="0030378F"/>
    <w:rsid w:val="00303965"/>
    <w:rsid w:val="00303D8C"/>
    <w:rsid w:val="00304045"/>
    <w:rsid w:val="0030472C"/>
    <w:rsid w:val="00304C37"/>
    <w:rsid w:val="00304E09"/>
    <w:rsid w:val="003052F1"/>
    <w:rsid w:val="0030533F"/>
    <w:rsid w:val="00305429"/>
    <w:rsid w:val="00305497"/>
    <w:rsid w:val="00305AE8"/>
    <w:rsid w:val="00305C55"/>
    <w:rsid w:val="00305F14"/>
    <w:rsid w:val="00305F67"/>
    <w:rsid w:val="00306680"/>
    <w:rsid w:val="003066FF"/>
    <w:rsid w:val="00306AC5"/>
    <w:rsid w:val="00306B0B"/>
    <w:rsid w:val="00306CA9"/>
    <w:rsid w:val="00306CFB"/>
    <w:rsid w:val="00307156"/>
    <w:rsid w:val="00307B78"/>
    <w:rsid w:val="00307CC0"/>
    <w:rsid w:val="00307E1F"/>
    <w:rsid w:val="00307E6A"/>
    <w:rsid w:val="0031007B"/>
    <w:rsid w:val="003100EE"/>
    <w:rsid w:val="00310146"/>
    <w:rsid w:val="0031058D"/>
    <w:rsid w:val="00310F54"/>
    <w:rsid w:val="00311240"/>
    <w:rsid w:val="0031154A"/>
    <w:rsid w:val="003120E7"/>
    <w:rsid w:val="0031218F"/>
    <w:rsid w:val="00312B4D"/>
    <w:rsid w:val="00312E97"/>
    <w:rsid w:val="00312FBD"/>
    <w:rsid w:val="003133DE"/>
    <w:rsid w:val="003133FB"/>
    <w:rsid w:val="00313721"/>
    <w:rsid w:val="003138B3"/>
    <w:rsid w:val="00313B48"/>
    <w:rsid w:val="003140F0"/>
    <w:rsid w:val="003144C3"/>
    <w:rsid w:val="003148B3"/>
    <w:rsid w:val="00314FF7"/>
    <w:rsid w:val="003150FA"/>
    <w:rsid w:val="0031554C"/>
    <w:rsid w:val="003156AA"/>
    <w:rsid w:val="003158A5"/>
    <w:rsid w:val="00315E20"/>
    <w:rsid w:val="00316311"/>
    <w:rsid w:val="00316583"/>
    <w:rsid w:val="0031684E"/>
    <w:rsid w:val="00316A63"/>
    <w:rsid w:val="00316B3C"/>
    <w:rsid w:val="00316B57"/>
    <w:rsid w:val="00316C07"/>
    <w:rsid w:val="0032014E"/>
    <w:rsid w:val="0032112B"/>
    <w:rsid w:val="00321257"/>
    <w:rsid w:val="0032130E"/>
    <w:rsid w:val="00321373"/>
    <w:rsid w:val="00321B70"/>
    <w:rsid w:val="00321CA8"/>
    <w:rsid w:val="00322BF1"/>
    <w:rsid w:val="00322D10"/>
    <w:rsid w:val="0032352D"/>
    <w:rsid w:val="00323616"/>
    <w:rsid w:val="00323626"/>
    <w:rsid w:val="00323882"/>
    <w:rsid w:val="00323972"/>
    <w:rsid w:val="00323A6D"/>
    <w:rsid w:val="00324477"/>
    <w:rsid w:val="00324C96"/>
    <w:rsid w:val="0032508C"/>
    <w:rsid w:val="003266B3"/>
    <w:rsid w:val="003268A6"/>
    <w:rsid w:val="00326E84"/>
    <w:rsid w:val="00327245"/>
    <w:rsid w:val="003272A8"/>
    <w:rsid w:val="003276BD"/>
    <w:rsid w:val="00327855"/>
    <w:rsid w:val="00327B46"/>
    <w:rsid w:val="00327C0D"/>
    <w:rsid w:val="00327E59"/>
    <w:rsid w:val="00330183"/>
    <w:rsid w:val="00330B6F"/>
    <w:rsid w:val="00331172"/>
    <w:rsid w:val="003311E7"/>
    <w:rsid w:val="00331C97"/>
    <w:rsid w:val="00331EE6"/>
    <w:rsid w:val="0033247E"/>
    <w:rsid w:val="003325E1"/>
    <w:rsid w:val="003325EB"/>
    <w:rsid w:val="0033366F"/>
    <w:rsid w:val="00333898"/>
    <w:rsid w:val="003339F0"/>
    <w:rsid w:val="00333DF1"/>
    <w:rsid w:val="00333E25"/>
    <w:rsid w:val="00333ECA"/>
    <w:rsid w:val="00334AC3"/>
    <w:rsid w:val="00334FE7"/>
    <w:rsid w:val="00335012"/>
    <w:rsid w:val="003352D5"/>
    <w:rsid w:val="00335ACA"/>
    <w:rsid w:val="00335E51"/>
    <w:rsid w:val="00335FDE"/>
    <w:rsid w:val="003362EE"/>
    <w:rsid w:val="00336329"/>
    <w:rsid w:val="00336460"/>
    <w:rsid w:val="003364B1"/>
    <w:rsid w:val="003365A3"/>
    <w:rsid w:val="0033689A"/>
    <w:rsid w:val="00336C12"/>
    <w:rsid w:val="00336CD0"/>
    <w:rsid w:val="003375BE"/>
    <w:rsid w:val="00337F94"/>
    <w:rsid w:val="0034018B"/>
    <w:rsid w:val="003405D8"/>
    <w:rsid w:val="003406D0"/>
    <w:rsid w:val="00340947"/>
    <w:rsid w:val="00340F6F"/>
    <w:rsid w:val="00340FAD"/>
    <w:rsid w:val="003411AE"/>
    <w:rsid w:val="003413FE"/>
    <w:rsid w:val="0034200B"/>
    <w:rsid w:val="0034237D"/>
    <w:rsid w:val="00342857"/>
    <w:rsid w:val="00342A5E"/>
    <w:rsid w:val="00342D01"/>
    <w:rsid w:val="003430AE"/>
    <w:rsid w:val="003431E2"/>
    <w:rsid w:val="003438F9"/>
    <w:rsid w:val="00344136"/>
    <w:rsid w:val="00344237"/>
    <w:rsid w:val="00344996"/>
    <w:rsid w:val="003449E0"/>
    <w:rsid w:val="00344DE2"/>
    <w:rsid w:val="00345C90"/>
    <w:rsid w:val="00345CAA"/>
    <w:rsid w:val="0034610B"/>
    <w:rsid w:val="003464F5"/>
    <w:rsid w:val="00346C39"/>
    <w:rsid w:val="00346C95"/>
    <w:rsid w:val="00346E42"/>
    <w:rsid w:val="00346F87"/>
    <w:rsid w:val="003471F2"/>
    <w:rsid w:val="00347473"/>
    <w:rsid w:val="003479D5"/>
    <w:rsid w:val="00347D07"/>
    <w:rsid w:val="00347D99"/>
    <w:rsid w:val="00347EDE"/>
    <w:rsid w:val="00350227"/>
    <w:rsid w:val="00350885"/>
    <w:rsid w:val="00350B78"/>
    <w:rsid w:val="00350C61"/>
    <w:rsid w:val="00350D51"/>
    <w:rsid w:val="003517CC"/>
    <w:rsid w:val="00351852"/>
    <w:rsid w:val="00351B48"/>
    <w:rsid w:val="003520D6"/>
    <w:rsid w:val="00352176"/>
    <w:rsid w:val="003521DB"/>
    <w:rsid w:val="003523D3"/>
    <w:rsid w:val="003529ED"/>
    <w:rsid w:val="00353031"/>
    <w:rsid w:val="0035317C"/>
    <w:rsid w:val="0035369E"/>
    <w:rsid w:val="00353782"/>
    <w:rsid w:val="00353EF8"/>
    <w:rsid w:val="00354079"/>
    <w:rsid w:val="00354115"/>
    <w:rsid w:val="003544C0"/>
    <w:rsid w:val="00354CF7"/>
    <w:rsid w:val="003553DE"/>
    <w:rsid w:val="0035542C"/>
    <w:rsid w:val="003560B9"/>
    <w:rsid w:val="00356125"/>
    <w:rsid w:val="0035650F"/>
    <w:rsid w:val="00356570"/>
    <w:rsid w:val="00356600"/>
    <w:rsid w:val="003566A0"/>
    <w:rsid w:val="00356E3E"/>
    <w:rsid w:val="003571BD"/>
    <w:rsid w:val="003571F5"/>
    <w:rsid w:val="003573BA"/>
    <w:rsid w:val="0035781A"/>
    <w:rsid w:val="00357D31"/>
    <w:rsid w:val="00360CAF"/>
    <w:rsid w:val="00360D68"/>
    <w:rsid w:val="00361938"/>
    <w:rsid w:val="0036220E"/>
    <w:rsid w:val="0036246A"/>
    <w:rsid w:val="00362652"/>
    <w:rsid w:val="00363D60"/>
    <w:rsid w:val="0036446D"/>
    <w:rsid w:val="0036454E"/>
    <w:rsid w:val="0036476D"/>
    <w:rsid w:val="0036487F"/>
    <w:rsid w:val="00364B5E"/>
    <w:rsid w:val="0036518D"/>
    <w:rsid w:val="00365393"/>
    <w:rsid w:val="00365456"/>
    <w:rsid w:val="00365CEC"/>
    <w:rsid w:val="00366871"/>
    <w:rsid w:val="00366F1A"/>
    <w:rsid w:val="00366F62"/>
    <w:rsid w:val="00367691"/>
    <w:rsid w:val="003677E1"/>
    <w:rsid w:val="00367CFD"/>
    <w:rsid w:val="00367EC9"/>
    <w:rsid w:val="00367EF9"/>
    <w:rsid w:val="0037017D"/>
    <w:rsid w:val="00370572"/>
    <w:rsid w:val="00370D86"/>
    <w:rsid w:val="0037101C"/>
    <w:rsid w:val="00371705"/>
    <w:rsid w:val="00371976"/>
    <w:rsid w:val="00371A5A"/>
    <w:rsid w:val="00371A8C"/>
    <w:rsid w:val="00371B0D"/>
    <w:rsid w:val="00371B3C"/>
    <w:rsid w:val="00371CAF"/>
    <w:rsid w:val="00371DD9"/>
    <w:rsid w:val="003722E4"/>
    <w:rsid w:val="0037272C"/>
    <w:rsid w:val="00372AEB"/>
    <w:rsid w:val="00372B2D"/>
    <w:rsid w:val="003731C1"/>
    <w:rsid w:val="00373A8B"/>
    <w:rsid w:val="00373B5F"/>
    <w:rsid w:val="00373EFA"/>
    <w:rsid w:val="00374783"/>
    <w:rsid w:val="00374980"/>
    <w:rsid w:val="00374B93"/>
    <w:rsid w:val="00374F20"/>
    <w:rsid w:val="0037502A"/>
    <w:rsid w:val="0037543D"/>
    <w:rsid w:val="00375630"/>
    <w:rsid w:val="003757EA"/>
    <w:rsid w:val="003759F3"/>
    <w:rsid w:val="00375AEF"/>
    <w:rsid w:val="00375F80"/>
    <w:rsid w:val="00377166"/>
    <w:rsid w:val="003772C5"/>
    <w:rsid w:val="00377714"/>
    <w:rsid w:val="00377A70"/>
    <w:rsid w:val="00380219"/>
    <w:rsid w:val="00380D3F"/>
    <w:rsid w:val="003810B0"/>
    <w:rsid w:val="0038153F"/>
    <w:rsid w:val="0038163A"/>
    <w:rsid w:val="00381FFB"/>
    <w:rsid w:val="00382179"/>
    <w:rsid w:val="0038240A"/>
    <w:rsid w:val="00382735"/>
    <w:rsid w:val="003832BC"/>
    <w:rsid w:val="0038337F"/>
    <w:rsid w:val="00383469"/>
    <w:rsid w:val="0038348E"/>
    <w:rsid w:val="00383701"/>
    <w:rsid w:val="00383D23"/>
    <w:rsid w:val="00384707"/>
    <w:rsid w:val="00384BD1"/>
    <w:rsid w:val="00384F9D"/>
    <w:rsid w:val="0038539D"/>
    <w:rsid w:val="003853E1"/>
    <w:rsid w:val="00385BE2"/>
    <w:rsid w:val="00385E3F"/>
    <w:rsid w:val="0038603B"/>
    <w:rsid w:val="0038613B"/>
    <w:rsid w:val="003863CD"/>
    <w:rsid w:val="003863D4"/>
    <w:rsid w:val="003868A5"/>
    <w:rsid w:val="00386E1B"/>
    <w:rsid w:val="00386E28"/>
    <w:rsid w:val="0038725C"/>
    <w:rsid w:val="003878F1"/>
    <w:rsid w:val="00387A20"/>
    <w:rsid w:val="0039018E"/>
    <w:rsid w:val="00390A54"/>
    <w:rsid w:val="00391238"/>
    <w:rsid w:val="003913A8"/>
    <w:rsid w:val="00391A19"/>
    <w:rsid w:val="00391BEE"/>
    <w:rsid w:val="00391E10"/>
    <w:rsid w:val="003923A4"/>
    <w:rsid w:val="00392774"/>
    <w:rsid w:val="00392F32"/>
    <w:rsid w:val="003934CA"/>
    <w:rsid w:val="003938E2"/>
    <w:rsid w:val="00393F76"/>
    <w:rsid w:val="003945E0"/>
    <w:rsid w:val="003953D7"/>
    <w:rsid w:val="003955D2"/>
    <w:rsid w:val="0039564E"/>
    <w:rsid w:val="00395C71"/>
    <w:rsid w:val="00395F6C"/>
    <w:rsid w:val="003960B6"/>
    <w:rsid w:val="0039631F"/>
    <w:rsid w:val="003969AC"/>
    <w:rsid w:val="003971E6"/>
    <w:rsid w:val="003972B5"/>
    <w:rsid w:val="00397AC4"/>
    <w:rsid w:val="00397FA1"/>
    <w:rsid w:val="003A02F4"/>
    <w:rsid w:val="003A090B"/>
    <w:rsid w:val="003A0961"/>
    <w:rsid w:val="003A1351"/>
    <w:rsid w:val="003A14EA"/>
    <w:rsid w:val="003A2164"/>
    <w:rsid w:val="003A2227"/>
    <w:rsid w:val="003A26E0"/>
    <w:rsid w:val="003A32A2"/>
    <w:rsid w:val="003A3932"/>
    <w:rsid w:val="003A400D"/>
    <w:rsid w:val="003A4344"/>
    <w:rsid w:val="003A447E"/>
    <w:rsid w:val="003A4ADD"/>
    <w:rsid w:val="003A4FB0"/>
    <w:rsid w:val="003A68D3"/>
    <w:rsid w:val="003A6D6C"/>
    <w:rsid w:val="003A72A1"/>
    <w:rsid w:val="003B01AB"/>
    <w:rsid w:val="003B0326"/>
    <w:rsid w:val="003B0E67"/>
    <w:rsid w:val="003B0FFF"/>
    <w:rsid w:val="003B11DE"/>
    <w:rsid w:val="003B1223"/>
    <w:rsid w:val="003B16FB"/>
    <w:rsid w:val="003B1D91"/>
    <w:rsid w:val="003B21A7"/>
    <w:rsid w:val="003B2E90"/>
    <w:rsid w:val="003B36E5"/>
    <w:rsid w:val="003B37FE"/>
    <w:rsid w:val="003B3A8F"/>
    <w:rsid w:val="003B3B2F"/>
    <w:rsid w:val="003B400F"/>
    <w:rsid w:val="003B4555"/>
    <w:rsid w:val="003B4962"/>
    <w:rsid w:val="003B4D62"/>
    <w:rsid w:val="003B4EDD"/>
    <w:rsid w:val="003B5645"/>
    <w:rsid w:val="003B5655"/>
    <w:rsid w:val="003B5698"/>
    <w:rsid w:val="003B5FA4"/>
    <w:rsid w:val="003B5FCF"/>
    <w:rsid w:val="003B6953"/>
    <w:rsid w:val="003B72E4"/>
    <w:rsid w:val="003B75C0"/>
    <w:rsid w:val="003B7950"/>
    <w:rsid w:val="003C0078"/>
    <w:rsid w:val="003C0372"/>
    <w:rsid w:val="003C06E7"/>
    <w:rsid w:val="003C08BF"/>
    <w:rsid w:val="003C0A83"/>
    <w:rsid w:val="003C0AA6"/>
    <w:rsid w:val="003C0F07"/>
    <w:rsid w:val="003C111A"/>
    <w:rsid w:val="003C1367"/>
    <w:rsid w:val="003C1B42"/>
    <w:rsid w:val="003C1E23"/>
    <w:rsid w:val="003C213A"/>
    <w:rsid w:val="003C31A4"/>
    <w:rsid w:val="003C3261"/>
    <w:rsid w:val="003C32A7"/>
    <w:rsid w:val="003C3348"/>
    <w:rsid w:val="003C4476"/>
    <w:rsid w:val="003C49AD"/>
    <w:rsid w:val="003C4AEA"/>
    <w:rsid w:val="003C53E5"/>
    <w:rsid w:val="003C5DF0"/>
    <w:rsid w:val="003C602A"/>
    <w:rsid w:val="003C62FF"/>
    <w:rsid w:val="003C64F5"/>
    <w:rsid w:val="003C66B1"/>
    <w:rsid w:val="003C67B0"/>
    <w:rsid w:val="003C6882"/>
    <w:rsid w:val="003C6A6E"/>
    <w:rsid w:val="003C6CEC"/>
    <w:rsid w:val="003C70C1"/>
    <w:rsid w:val="003C7495"/>
    <w:rsid w:val="003C7501"/>
    <w:rsid w:val="003C7B69"/>
    <w:rsid w:val="003C7B6E"/>
    <w:rsid w:val="003C7EF3"/>
    <w:rsid w:val="003D0861"/>
    <w:rsid w:val="003D1F12"/>
    <w:rsid w:val="003D2796"/>
    <w:rsid w:val="003D2C2E"/>
    <w:rsid w:val="003D2EC1"/>
    <w:rsid w:val="003D3C08"/>
    <w:rsid w:val="003D424D"/>
    <w:rsid w:val="003D44E9"/>
    <w:rsid w:val="003D4684"/>
    <w:rsid w:val="003D46F1"/>
    <w:rsid w:val="003D48CA"/>
    <w:rsid w:val="003D4CE8"/>
    <w:rsid w:val="003D5395"/>
    <w:rsid w:val="003D5733"/>
    <w:rsid w:val="003D5B0F"/>
    <w:rsid w:val="003D5CA2"/>
    <w:rsid w:val="003D7166"/>
    <w:rsid w:val="003D7593"/>
    <w:rsid w:val="003D7933"/>
    <w:rsid w:val="003D7BAB"/>
    <w:rsid w:val="003D7E54"/>
    <w:rsid w:val="003E0739"/>
    <w:rsid w:val="003E1093"/>
    <w:rsid w:val="003E13C8"/>
    <w:rsid w:val="003E1430"/>
    <w:rsid w:val="003E175C"/>
    <w:rsid w:val="003E1931"/>
    <w:rsid w:val="003E1DF5"/>
    <w:rsid w:val="003E207E"/>
    <w:rsid w:val="003E215D"/>
    <w:rsid w:val="003E2471"/>
    <w:rsid w:val="003E2620"/>
    <w:rsid w:val="003E28E1"/>
    <w:rsid w:val="003E2D5A"/>
    <w:rsid w:val="003E3195"/>
    <w:rsid w:val="003E3337"/>
    <w:rsid w:val="003E4121"/>
    <w:rsid w:val="003E46FE"/>
    <w:rsid w:val="003E4B01"/>
    <w:rsid w:val="003E5243"/>
    <w:rsid w:val="003E5511"/>
    <w:rsid w:val="003E5521"/>
    <w:rsid w:val="003E6343"/>
    <w:rsid w:val="003E6650"/>
    <w:rsid w:val="003E68B1"/>
    <w:rsid w:val="003E6A31"/>
    <w:rsid w:val="003E6F09"/>
    <w:rsid w:val="003E74B8"/>
    <w:rsid w:val="003E76B3"/>
    <w:rsid w:val="003E775B"/>
    <w:rsid w:val="003F0CF0"/>
    <w:rsid w:val="003F2747"/>
    <w:rsid w:val="003F2A06"/>
    <w:rsid w:val="003F2CC8"/>
    <w:rsid w:val="003F325F"/>
    <w:rsid w:val="003F334D"/>
    <w:rsid w:val="003F3608"/>
    <w:rsid w:val="003F5226"/>
    <w:rsid w:val="003F5AE5"/>
    <w:rsid w:val="003F5CE0"/>
    <w:rsid w:val="003F5EE9"/>
    <w:rsid w:val="003F6A05"/>
    <w:rsid w:val="003F6B24"/>
    <w:rsid w:val="003F6D82"/>
    <w:rsid w:val="003F703F"/>
    <w:rsid w:val="003F712B"/>
    <w:rsid w:val="003F7874"/>
    <w:rsid w:val="003F7905"/>
    <w:rsid w:val="003F7B12"/>
    <w:rsid w:val="003F7DD5"/>
    <w:rsid w:val="004005A7"/>
    <w:rsid w:val="00400A20"/>
    <w:rsid w:val="00400B05"/>
    <w:rsid w:val="00401988"/>
    <w:rsid w:val="00401EFF"/>
    <w:rsid w:val="0040218A"/>
    <w:rsid w:val="00402A91"/>
    <w:rsid w:val="0040300D"/>
    <w:rsid w:val="004030BA"/>
    <w:rsid w:val="0040351F"/>
    <w:rsid w:val="0040366D"/>
    <w:rsid w:val="00403728"/>
    <w:rsid w:val="00403903"/>
    <w:rsid w:val="00403A6A"/>
    <w:rsid w:val="00403B66"/>
    <w:rsid w:val="00403E8A"/>
    <w:rsid w:val="004040AF"/>
    <w:rsid w:val="00404137"/>
    <w:rsid w:val="00404D93"/>
    <w:rsid w:val="00405543"/>
    <w:rsid w:val="00405796"/>
    <w:rsid w:val="00405C7A"/>
    <w:rsid w:val="00405CA9"/>
    <w:rsid w:val="00406254"/>
    <w:rsid w:val="00406309"/>
    <w:rsid w:val="00406BCE"/>
    <w:rsid w:val="00406C94"/>
    <w:rsid w:val="00406D1E"/>
    <w:rsid w:val="00406D5C"/>
    <w:rsid w:val="00406DFA"/>
    <w:rsid w:val="00406EE8"/>
    <w:rsid w:val="004073C0"/>
    <w:rsid w:val="00407A47"/>
    <w:rsid w:val="00407D46"/>
    <w:rsid w:val="00407F26"/>
    <w:rsid w:val="00410151"/>
    <w:rsid w:val="004103D4"/>
    <w:rsid w:val="00410467"/>
    <w:rsid w:val="0041066B"/>
    <w:rsid w:val="00410E3D"/>
    <w:rsid w:val="004112D7"/>
    <w:rsid w:val="00411C34"/>
    <w:rsid w:val="00411F4C"/>
    <w:rsid w:val="004121C0"/>
    <w:rsid w:val="00412354"/>
    <w:rsid w:val="00412421"/>
    <w:rsid w:val="0041242A"/>
    <w:rsid w:val="0041255E"/>
    <w:rsid w:val="004125F6"/>
    <w:rsid w:val="00412EB9"/>
    <w:rsid w:val="00413485"/>
    <w:rsid w:val="0041429E"/>
    <w:rsid w:val="00414602"/>
    <w:rsid w:val="004149D7"/>
    <w:rsid w:val="00414B2D"/>
    <w:rsid w:val="004155EF"/>
    <w:rsid w:val="00415A15"/>
    <w:rsid w:val="00415B7F"/>
    <w:rsid w:val="00415F8A"/>
    <w:rsid w:val="00416371"/>
    <w:rsid w:val="00416D5A"/>
    <w:rsid w:val="00417C54"/>
    <w:rsid w:val="00420B59"/>
    <w:rsid w:val="004216D5"/>
    <w:rsid w:val="00421B83"/>
    <w:rsid w:val="00421D49"/>
    <w:rsid w:val="0042288E"/>
    <w:rsid w:val="004228F1"/>
    <w:rsid w:val="00422A92"/>
    <w:rsid w:val="00423451"/>
    <w:rsid w:val="00423F43"/>
    <w:rsid w:val="004244D7"/>
    <w:rsid w:val="0042454D"/>
    <w:rsid w:val="004248AD"/>
    <w:rsid w:val="00425629"/>
    <w:rsid w:val="00425659"/>
    <w:rsid w:val="00427602"/>
    <w:rsid w:val="00427945"/>
    <w:rsid w:val="00427DD9"/>
    <w:rsid w:val="0043020A"/>
    <w:rsid w:val="004308CB"/>
    <w:rsid w:val="00430A42"/>
    <w:rsid w:val="00430A97"/>
    <w:rsid w:val="00430C1F"/>
    <w:rsid w:val="00430C79"/>
    <w:rsid w:val="00431721"/>
    <w:rsid w:val="00431C10"/>
    <w:rsid w:val="00431ED2"/>
    <w:rsid w:val="004321DF"/>
    <w:rsid w:val="004323E9"/>
    <w:rsid w:val="0043289E"/>
    <w:rsid w:val="00432F38"/>
    <w:rsid w:val="00433451"/>
    <w:rsid w:val="00433827"/>
    <w:rsid w:val="00433A90"/>
    <w:rsid w:val="00433CDA"/>
    <w:rsid w:val="00433DC3"/>
    <w:rsid w:val="00433E54"/>
    <w:rsid w:val="00434177"/>
    <w:rsid w:val="004342F0"/>
    <w:rsid w:val="004344A7"/>
    <w:rsid w:val="004344D4"/>
    <w:rsid w:val="004345B2"/>
    <w:rsid w:val="00435074"/>
    <w:rsid w:val="004350C2"/>
    <w:rsid w:val="00435361"/>
    <w:rsid w:val="004364D7"/>
    <w:rsid w:val="00437574"/>
    <w:rsid w:val="00437741"/>
    <w:rsid w:val="004378F2"/>
    <w:rsid w:val="00437953"/>
    <w:rsid w:val="00440765"/>
    <w:rsid w:val="00441242"/>
    <w:rsid w:val="004412FE"/>
    <w:rsid w:val="00441754"/>
    <w:rsid w:val="00441793"/>
    <w:rsid w:val="0044185B"/>
    <w:rsid w:val="00441C28"/>
    <w:rsid w:val="00442FB8"/>
    <w:rsid w:val="00443843"/>
    <w:rsid w:val="00444D9D"/>
    <w:rsid w:val="00445114"/>
    <w:rsid w:val="00445147"/>
    <w:rsid w:val="00445DD9"/>
    <w:rsid w:val="00446326"/>
    <w:rsid w:val="00446431"/>
    <w:rsid w:val="00446909"/>
    <w:rsid w:val="004476B6"/>
    <w:rsid w:val="004479FF"/>
    <w:rsid w:val="00447B01"/>
    <w:rsid w:val="00447E4C"/>
    <w:rsid w:val="00447EB8"/>
    <w:rsid w:val="0045007E"/>
    <w:rsid w:val="00450904"/>
    <w:rsid w:val="004509B7"/>
    <w:rsid w:val="00450B1C"/>
    <w:rsid w:val="0045111D"/>
    <w:rsid w:val="004513E8"/>
    <w:rsid w:val="00451849"/>
    <w:rsid w:val="004518E0"/>
    <w:rsid w:val="00451AB9"/>
    <w:rsid w:val="004524E9"/>
    <w:rsid w:val="00453067"/>
    <w:rsid w:val="0045320E"/>
    <w:rsid w:val="004537C2"/>
    <w:rsid w:val="00453C29"/>
    <w:rsid w:val="00453F94"/>
    <w:rsid w:val="00454299"/>
    <w:rsid w:val="004542AF"/>
    <w:rsid w:val="0045464E"/>
    <w:rsid w:val="00454901"/>
    <w:rsid w:val="00454C16"/>
    <w:rsid w:val="00454CB1"/>
    <w:rsid w:val="00454D60"/>
    <w:rsid w:val="0045515B"/>
    <w:rsid w:val="00455619"/>
    <w:rsid w:val="00455D83"/>
    <w:rsid w:val="00455E79"/>
    <w:rsid w:val="004566B2"/>
    <w:rsid w:val="00456A73"/>
    <w:rsid w:val="00457B98"/>
    <w:rsid w:val="00460AA9"/>
    <w:rsid w:val="00460B64"/>
    <w:rsid w:val="00460DF6"/>
    <w:rsid w:val="00461127"/>
    <w:rsid w:val="0046115B"/>
    <w:rsid w:val="00461677"/>
    <w:rsid w:val="00461790"/>
    <w:rsid w:val="00461C94"/>
    <w:rsid w:val="0046202C"/>
    <w:rsid w:val="0046222C"/>
    <w:rsid w:val="004629E8"/>
    <w:rsid w:val="00462BDB"/>
    <w:rsid w:val="00462F6E"/>
    <w:rsid w:val="0046326D"/>
    <w:rsid w:val="004636C3"/>
    <w:rsid w:val="00463A00"/>
    <w:rsid w:val="00463A07"/>
    <w:rsid w:val="00463D78"/>
    <w:rsid w:val="00464262"/>
    <w:rsid w:val="00464A33"/>
    <w:rsid w:val="00464A3E"/>
    <w:rsid w:val="00464F5A"/>
    <w:rsid w:val="00465108"/>
    <w:rsid w:val="00465955"/>
    <w:rsid w:val="00466111"/>
    <w:rsid w:val="004663DE"/>
    <w:rsid w:val="00466669"/>
    <w:rsid w:val="004667C6"/>
    <w:rsid w:val="00466AEB"/>
    <w:rsid w:val="00466DF0"/>
    <w:rsid w:val="00466F03"/>
    <w:rsid w:val="00466F90"/>
    <w:rsid w:val="00467334"/>
    <w:rsid w:val="0046795A"/>
    <w:rsid w:val="0047015C"/>
    <w:rsid w:val="0047026F"/>
    <w:rsid w:val="004712BD"/>
    <w:rsid w:val="004713EC"/>
    <w:rsid w:val="0047150F"/>
    <w:rsid w:val="0047156C"/>
    <w:rsid w:val="004716CD"/>
    <w:rsid w:val="004720A9"/>
    <w:rsid w:val="004729CC"/>
    <w:rsid w:val="00472AF1"/>
    <w:rsid w:val="0047326D"/>
    <w:rsid w:val="0047330F"/>
    <w:rsid w:val="004733AD"/>
    <w:rsid w:val="00473896"/>
    <w:rsid w:val="00473D51"/>
    <w:rsid w:val="004742A8"/>
    <w:rsid w:val="004747E9"/>
    <w:rsid w:val="00474928"/>
    <w:rsid w:val="00475502"/>
    <w:rsid w:val="00475B2E"/>
    <w:rsid w:val="00475CC3"/>
    <w:rsid w:val="00475E36"/>
    <w:rsid w:val="004772CC"/>
    <w:rsid w:val="00477574"/>
    <w:rsid w:val="00477B82"/>
    <w:rsid w:val="004801ED"/>
    <w:rsid w:val="00480259"/>
    <w:rsid w:val="004803F9"/>
    <w:rsid w:val="0048059B"/>
    <w:rsid w:val="004805B4"/>
    <w:rsid w:val="00480718"/>
    <w:rsid w:val="00480B72"/>
    <w:rsid w:val="00481367"/>
    <w:rsid w:val="004816CF"/>
    <w:rsid w:val="004818DD"/>
    <w:rsid w:val="00482997"/>
    <w:rsid w:val="00482CCA"/>
    <w:rsid w:val="00482E93"/>
    <w:rsid w:val="0048306A"/>
    <w:rsid w:val="00483250"/>
    <w:rsid w:val="00483869"/>
    <w:rsid w:val="00483A7E"/>
    <w:rsid w:val="00483BCC"/>
    <w:rsid w:val="00484180"/>
    <w:rsid w:val="004845DD"/>
    <w:rsid w:val="004848B6"/>
    <w:rsid w:val="00484A6D"/>
    <w:rsid w:val="00484D61"/>
    <w:rsid w:val="004850D7"/>
    <w:rsid w:val="00485536"/>
    <w:rsid w:val="004859A6"/>
    <w:rsid w:val="004859F9"/>
    <w:rsid w:val="00485A2C"/>
    <w:rsid w:val="00485AC0"/>
    <w:rsid w:val="00485E94"/>
    <w:rsid w:val="00485FD9"/>
    <w:rsid w:val="004860DD"/>
    <w:rsid w:val="004860FA"/>
    <w:rsid w:val="004861B1"/>
    <w:rsid w:val="004863E5"/>
    <w:rsid w:val="0048674E"/>
    <w:rsid w:val="004867FF"/>
    <w:rsid w:val="00486F4C"/>
    <w:rsid w:val="00487329"/>
    <w:rsid w:val="004875F4"/>
    <w:rsid w:val="004879F9"/>
    <w:rsid w:val="00487C1F"/>
    <w:rsid w:val="004901CA"/>
    <w:rsid w:val="00490430"/>
    <w:rsid w:val="004908DF"/>
    <w:rsid w:val="00490EFD"/>
    <w:rsid w:val="004914C1"/>
    <w:rsid w:val="00491B3C"/>
    <w:rsid w:val="00491D84"/>
    <w:rsid w:val="00491DA7"/>
    <w:rsid w:val="00491F03"/>
    <w:rsid w:val="00491F4B"/>
    <w:rsid w:val="004925A8"/>
    <w:rsid w:val="00492850"/>
    <w:rsid w:val="0049291F"/>
    <w:rsid w:val="00492CD9"/>
    <w:rsid w:val="0049307D"/>
    <w:rsid w:val="00493F1A"/>
    <w:rsid w:val="00494066"/>
    <w:rsid w:val="004945A8"/>
    <w:rsid w:val="00494731"/>
    <w:rsid w:val="00494A78"/>
    <w:rsid w:val="00494C00"/>
    <w:rsid w:val="00494E50"/>
    <w:rsid w:val="0049555D"/>
    <w:rsid w:val="00496084"/>
    <w:rsid w:val="0049609F"/>
    <w:rsid w:val="004973A9"/>
    <w:rsid w:val="0049792F"/>
    <w:rsid w:val="00497BDB"/>
    <w:rsid w:val="00497C54"/>
    <w:rsid w:val="004A0204"/>
    <w:rsid w:val="004A03BF"/>
    <w:rsid w:val="004A03D2"/>
    <w:rsid w:val="004A0832"/>
    <w:rsid w:val="004A0A7E"/>
    <w:rsid w:val="004A0DAD"/>
    <w:rsid w:val="004A1144"/>
    <w:rsid w:val="004A1AA7"/>
    <w:rsid w:val="004A1B4E"/>
    <w:rsid w:val="004A1E4D"/>
    <w:rsid w:val="004A21C2"/>
    <w:rsid w:val="004A2278"/>
    <w:rsid w:val="004A234D"/>
    <w:rsid w:val="004A251E"/>
    <w:rsid w:val="004A2CF7"/>
    <w:rsid w:val="004A2F2E"/>
    <w:rsid w:val="004A3170"/>
    <w:rsid w:val="004A3BAD"/>
    <w:rsid w:val="004A66B4"/>
    <w:rsid w:val="004A67FB"/>
    <w:rsid w:val="004A683E"/>
    <w:rsid w:val="004A6E1F"/>
    <w:rsid w:val="004A6EB6"/>
    <w:rsid w:val="004A7484"/>
    <w:rsid w:val="004A7875"/>
    <w:rsid w:val="004A7FB9"/>
    <w:rsid w:val="004B0136"/>
    <w:rsid w:val="004B0516"/>
    <w:rsid w:val="004B0755"/>
    <w:rsid w:val="004B0B1C"/>
    <w:rsid w:val="004B1D8E"/>
    <w:rsid w:val="004B2209"/>
    <w:rsid w:val="004B2224"/>
    <w:rsid w:val="004B24C1"/>
    <w:rsid w:val="004B25C6"/>
    <w:rsid w:val="004B2613"/>
    <w:rsid w:val="004B3139"/>
    <w:rsid w:val="004B36B2"/>
    <w:rsid w:val="004B3885"/>
    <w:rsid w:val="004B38B1"/>
    <w:rsid w:val="004B3E9B"/>
    <w:rsid w:val="004B3F9F"/>
    <w:rsid w:val="004B41D5"/>
    <w:rsid w:val="004B4535"/>
    <w:rsid w:val="004B50D8"/>
    <w:rsid w:val="004B526A"/>
    <w:rsid w:val="004B5447"/>
    <w:rsid w:val="004B54A2"/>
    <w:rsid w:val="004B54EF"/>
    <w:rsid w:val="004B58F2"/>
    <w:rsid w:val="004B58F7"/>
    <w:rsid w:val="004B598B"/>
    <w:rsid w:val="004B599E"/>
    <w:rsid w:val="004B6042"/>
    <w:rsid w:val="004B6E66"/>
    <w:rsid w:val="004B6FF1"/>
    <w:rsid w:val="004B71A6"/>
    <w:rsid w:val="004B7D93"/>
    <w:rsid w:val="004B7ECC"/>
    <w:rsid w:val="004B7FC2"/>
    <w:rsid w:val="004C012F"/>
    <w:rsid w:val="004C03A8"/>
    <w:rsid w:val="004C0A9F"/>
    <w:rsid w:val="004C0D7C"/>
    <w:rsid w:val="004C1598"/>
    <w:rsid w:val="004C17FF"/>
    <w:rsid w:val="004C1CFB"/>
    <w:rsid w:val="004C2036"/>
    <w:rsid w:val="004C21D9"/>
    <w:rsid w:val="004C28FD"/>
    <w:rsid w:val="004C351C"/>
    <w:rsid w:val="004C3960"/>
    <w:rsid w:val="004C3A1E"/>
    <w:rsid w:val="004C4091"/>
    <w:rsid w:val="004C40B3"/>
    <w:rsid w:val="004C4CD4"/>
    <w:rsid w:val="004C4FEC"/>
    <w:rsid w:val="004C5923"/>
    <w:rsid w:val="004C617D"/>
    <w:rsid w:val="004C659E"/>
    <w:rsid w:val="004C6658"/>
    <w:rsid w:val="004C695A"/>
    <w:rsid w:val="004C6A6D"/>
    <w:rsid w:val="004C6C9A"/>
    <w:rsid w:val="004C7017"/>
    <w:rsid w:val="004C765E"/>
    <w:rsid w:val="004C7819"/>
    <w:rsid w:val="004C7FA6"/>
    <w:rsid w:val="004D0019"/>
    <w:rsid w:val="004D0513"/>
    <w:rsid w:val="004D05AF"/>
    <w:rsid w:val="004D0FBA"/>
    <w:rsid w:val="004D1D8E"/>
    <w:rsid w:val="004D215F"/>
    <w:rsid w:val="004D26EC"/>
    <w:rsid w:val="004D2729"/>
    <w:rsid w:val="004D277F"/>
    <w:rsid w:val="004D2789"/>
    <w:rsid w:val="004D2790"/>
    <w:rsid w:val="004D28FD"/>
    <w:rsid w:val="004D2C01"/>
    <w:rsid w:val="004D2EA4"/>
    <w:rsid w:val="004D31C0"/>
    <w:rsid w:val="004D3383"/>
    <w:rsid w:val="004D36A3"/>
    <w:rsid w:val="004D3C24"/>
    <w:rsid w:val="004D4105"/>
    <w:rsid w:val="004D4481"/>
    <w:rsid w:val="004D451E"/>
    <w:rsid w:val="004D46C6"/>
    <w:rsid w:val="004D4A05"/>
    <w:rsid w:val="004D4A57"/>
    <w:rsid w:val="004D5506"/>
    <w:rsid w:val="004D5551"/>
    <w:rsid w:val="004D5620"/>
    <w:rsid w:val="004D57B8"/>
    <w:rsid w:val="004D5FE4"/>
    <w:rsid w:val="004D6097"/>
    <w:rsid w:val="004D6347"/>
    <w:rsid w:val="004D6B6D"/>
    <w:rsid w:val="004D71C1"/>
    <w:rsid w:val="004D746E"/>
    <w:rsid w:val="004D7E26"/>
    <w:rsid w:val="004E00C9"/>
    <w:rsid w:val="004E077E"/>
    <w:rsid w:val="004E0E1B"/>
    <w:rsid w:val="004E0EFA"/>
    <w:rsid w:val="004E1152"/>
    <w:rsid w:val="004E1870"/>
    <w:rsid w:val="004E188C"/>
    <w:rsid w:val="004E19BA"/>
    <w:rsid w:val="004E1ED6"/>
    <w:rsid w:val="004E2346"/>
    <w:rsid w:val="004E257C"/>
    <w:rsid w:val="004E2752"/>
    <w:rsid w:val="004E318A"/>
    <w:rsid w:val="004E54BA"/>
    <w:rsid w:val="004E609C"/>
    <w:rsid w:val="004E6163"/>
    <w:rsid w:val="004E6925"/>
    <w:rsid w:val="004E6B85"/>
    <w:rsid w:val="004E6FB1"/>
    <w:rsid w:val="004E7975"/>
    <w:rsid w:val="004E7C36"/>
    <w:rsid w:val="004E7FEB"/>
    <w:rsid w:val="004F0259"/>
    <w:rsid w:val="004F0A48"/>
    <w:rsid w:val="004F0A9D"/>
    <w:rsid w:val="004F16AA"/>
    <w:rsid w:val="004F22C0"/>
    <w:rsid w:val="004F25AF"/>
    <w:rsid w:val="004F2D8A"/>
    <w:rsid w:val="004F3A7E"/>
    <w:rsid w:val="004F421E"/>
    <w:rsid w:val="004F49C5"/>
    <w:rsid w:val="004F4A1C"/>
    <w:rsid w:val="004F5B25"/>
    <w:rsid w:val="004F5D26"/>
    <w:rsid w:val="004F60B4"/>
    <w:rsid w:val="004F60DA"/>
    <w:rsid w:val="004F70D3"/>
    <w:rsid w:val="004F72C6"/>
    <w:rsid w:val="004F72DC"/>
    <w:rsid w:val="004F730C"/>
    <w:rsid w:val="004F762D"/>
    <w:rsid w:val="00500533"/>
    <w:rsid w:val="00500697"/>
    <w:rsid w:val="00500B6F"/>
    <w:rsid w:val="00500D3B"/>
    <w:rsid w:val="005016A6"/>
    <w:rsid w:val="00501D07"/>
    <w:rsid w:val="00501D73"/>
    <w:rsid w:val="00502179"/>
    <w:rsid w:val="00502786"/>
    <w:rsid w:val="00502B3F"/>
    <w:rsid w:val="00502D11"/>
    <w:rsid w:val="00503172"/>
    <w:rsid w:val="005032B3"/>
    <w:rsid w:val="00503382"/>
    <w:rsid w:val="00504124"/>
    <w:rsid w:val="00504BAF"/>
    <w:rsid w:val="00504F94"/>
    <w:rsid w:val="00505D8E"/>
    <w:rsid w:val="00505E4D"/>
    <w:rsid w:val="005064F4"/>
    <w:rsid w:val="00507568"/>
    <w:rsid w:val="00507685"/>
    <w:rsid w:val="00507C22"/>
    <w:rsid w:val="00507C69"/>
    <w:rsid w:val="00510451"/>
    <w:rsid w:val="00510ACD"/>
    <w:rsid w:val="00510B48"/>
    <w:rsid w:val="00510BC3"/>
    <w:rsid w:val="00511B57"/>
    <w:rsid w:val="00512025"/>
    <w:rsid w:val="0051253A"/>
    <w:rsid w:val="00512899"/>
    <w:rsid w:val="00512A16"/>
    <w:rsid w:val="0051339A"/>
    <w:rsid w:val="00513582"/>
    <w:rsid w:val="0051376D"/>
    <w:rsid w:val="0051417D"/>
    <w:rsid w:val="005145C1"/>
    <w:rsid w:val="0051529A"/>
    <w:rsid w:val="0051546F"/>
    <w:rsid w:val="005160A9"/>
    <w:rsid w:val="005161A5"/>
    <w:rsid w:val="005162B1"/>
    <w:rsid w:val="00516433"/>
    <w:rsid w:val="005167C9"/>
    <w:rsid w:val="00516880"/>
    <w:rsid w:val="00516A41"/>
    <w:rsid w:val="00516D1A"/>
    <w:rsid w:val="00516D22"/>
    <w:rsid w:val="00516E9A"/>
    <w:rsid w:val="00517463"/>
    <w:rsid w:val="00517E5B"/>
    <w:rsid w:val="0052009E"/>
    <w:rsid w:val="00520145"/>
    <w:rsid w:val="005212DD"/>
    <w:rsid w:val="00521D63"/>
    <w:rsid w:val="00521E8B"/>
    <w:rsid w:val="00521FB2"/>
    <w:rsid w:val="005221C3"/>
    <w:rsid w:val="005227F1"/>
    <w:rsid w:val="00522F5D"/>
    <w:rsid w:val="0052373F"/>
    <w:rsid w:val="00523D61"/>
    <w:rsid w:val="00523D86"/>
    <w:rsid w:val="00523EBC"/>
    <w:rsid w:val="005242AB"/>
    <w:rsid w:val="0052473E"/>
    <w:rsid w:val="0052475B"/>
    <w:rsid w:val="00524C0E"/>
    <w:rsid w:val="00524ECA"/>
    <w:rsid w:val="005252C6"/>
    <w:rsid w:val="00525D52"/>
    <w:rsid w:val="00525D8D"/>
    <w:rsid w:val="00525EF2"/>
    <w:rsid w:val="00526BA4"/>
    <w:rsid w:val="00526FC1"/>
    <w:rsid w:val="00527002"/>
    <w:rsid w:val="0052769B"/>
    <w:rsid w:val="00527963"/>
    <w:rsid w:val="00527BC8"/>
    <w:rsid w:val="00527DC6"/>
    <w:rsid w:val="005300F5"/>
    <w:rsid w:val="00530463"/>
    <w:rsid w:val="00530B4D"/>
    <w:rsid w:val="00530CE1"/>
    <w:rsid w:val="00530DC9"/>
    <w:rsid w:val="0053145C"/>
    <w:rsid w:val="0053153A"/>
    <w:rsid w:val="00531A8D"/>
    <w:rsid w:val="0053278F"/>
    <w:rsid w:val="00532B5B"/>
    <w:rsid w:val="0053335B"/>
    <w:rsid w:val="005336B8"/>
    <w:rsid w:val="0053393A"/>
    <w:rsid w:val="00533ACC"/>
    <w:rsid w:val="00533FDC"/>
    <w:rsid w:val="0053456A"/>
    <w:rsid w:val="0053558F"/>
    <w:rsid w:val="005357D2"/>
    <w:rsid w:val="005357DD"/>
    <w:rsid w:val="00535BC4"/>
    <w:rsid w:val="00536258"/>
    <w:rsid w:val="0053738C"/>
    <w:rsid w:val="005374A2"/>
    <w:rsid w:val="0053773F"/>
    <w:rsid w:val="00537996"/>
    <w:rsid w:val="005379BA"/>
    <w:rsid w:val="00540000"/>
    <w:rsid w:val="0054005E"/>
    <w:rsid w:val="0054008E"/>
    <w:rsid w:val="0054053D"/>
    <w:rsid w:val="005405AE"/>
    <w:rsid w:val="005407D5"/>
    <w:rsid w:val="005408AF"/>
    <w:rsid w:val="005410BC"/>
    <w:rsid w:val="00541586"/>
    <w:rsid w:val="00541607"/>
    <w:rsid w:val="00542155"/>
    <w:rsid w:val="0054287D"/>
    <w:rsid w:val="00542B15"/>
    <w:rsid w:val="00542D1B"/>
    <w:rsid w:val="0054304C"/>
    <w:rsid w:val="005431DB"/>
    <w:rsid w:val="0054351C"/>
    <w:rsid w:val="00543628"/>
    <w:rsid w:val="005437C2"/>
    <w:rsid w:val="00543CCD"/>
    <w:rsid w:val="00543EFC"/>
    <w:rsid w:val="005443A8"/>
    <w:rsid w:val="0054585A"/>
    <w:rsid w:val="00545FEF"/>
    <w:rsid w:val="00546354"/>
    <w:rsid w:val="0054643C"/>
    <w:rsid w:val="005464B5"/>
    <w:rsid w:val="0054669D"/>
    <w:rsid w:val="00546778"/>
    <w:rsid w:val="00546CA6"/>
    <w:rsid w:val="00546DA1"/>
    <w:rsid w:val="005471F0"/>
    <w:rsid w:val="0054751E"/>
    <w:rsid w:val="00547625"/>
    <w:rsid w:val="0054792E"/>
    <w:rsid w:val="00547A2C"/>
    <w:rsid w:val="00547C66"/>
    <w:rsid w:val="00547DE7"/>
    <w:rsid w:val="00547F26"/>
    <w:rsid w:val="005502B6"/>
    <w:rsid w:val="0055041B"/>
    <w:rsid w:val="00550ADD"/>
    <w:rsid w:val="00550D4C"/>
    <w:rsid w:val="00550FB5"/>
    <w:rsid w:val="005519A4"/>
    <w:rsid w:val="005519DD"/>
    <w:rsid w:val="00551F48"/>
    <w:rsid w:val="00552391"/>
    <w:rsid w:val="005524E5"/>
    <w:rsid w:val="0055251B"/>
    <w:rsid w:val="005525D1"/>
    <w:rsid w:val="005527FB"/>
    <w:rsid w:val="00552CE7"/>
    <w:rsid w:val="0055358F"/>
    <w:rsid w:val="00553A01"/>
    <w:rsid w:val="0055404F"/>
    <w:rsid w:val="00554052"/>
    <w:rsid w:val="00555DA9"/>
    <w:rsid w:val="0055635E"/>
    <w:rsid w:val="005569B1"/>
    <w:rsid w:val="00556CE5"/>
    <w:rsid w:val="00556E3B"/>
    <w:rsid w:val="00557044"/>
    <w:rsid w:val="005571C1"/>
    <w:rsid w:val="005576FF"/>
    <w:rsid w:val="00557ADE"/>
    <w:rsid w:val="005601B7"/>
    <w:rsid w:val="0056064A"/>
    <w:rsid w:val="005607CD"/>
    <w:rsid w:val="005609C4"/>
    <w:rsid w:val="0056192C"/>
    <w:rsid w:val="00561A7D"/>
    <w:rsid w:val="00561BD5"/>
    <w:rsid w:val="005624B7"/>
    <w:rsid w:val="00562E48"/>
    <w:rsid w:val="005630ED"/>
    <w:rsid w:val="0056328A"/>
    <w:rsid w:val="005638A0"/>
    <w:rsid w:val="00564F1D"/>
    <w:rsid w:val="00565C91"/>
    <w:rsid w:val="00565F55"/>
    <w:rsid w:val="0056602A"/>
    <w:rsid w:val="00566173"/>
    <w:rsid w:val="00566764"/>
    <w:rsid w:val="005667AD"/>
    <w:rsid w:val="005669F9"/>
    <w:rsid w:val="0056703A"/>
    <w:rsid w:val="00567ED1"/>
    <w:rsid w:val="0057009A"/>
    <w:rsid w:val="00570793"/>
    <w:rsid w:val="005709A2"/>
    <w:rsid w:val="00570A41"/>
    <w:rsid w:val="00570CB3"/>
    <w:rsid w:val="00570F99"/>
    <w:rsid w:val="0057129E"/>
    <w:rsid w:val="005715E5"/>
    <w:rsid w:val="00572286"/>
    <w:rsid w:val="005727F7"/>
    <w:rsid w:val="00572D94"/>
    <w:rsid w:val="005732F3"/>
    <w:rsid w:val="00573368"/>
    <w:rsid w:val="00573A52"/>
    <w:rsid w:val="00574292"/>
    <w:rsid w:val="00574BA1"/>
    <w:rsid w:val="005751CE"/>
    <w:rsid w:val="005753B6"/>
    <w:rsid w:val="00575CD8"/>
    <w:rsid w:val="00575D00"/>
    <w:rsid w:val="0057603B"/>
    <w:rsid w:val="005762CF"/>
    <w:rsid w:val="00576521"/>
    <w:rsid w:val="00576AB9"/>
    <w:rsid w:val="00580A68"/>
    <w:rsid w:val="00580CB8"/>
    <w:rsid w:val="00580F15"/>
    <w:rsid w:val="005811CD"/>
    <w:rsid w:val="0058188B"/>
    <w:rsid w:val="005825E6"/>
    <w:rsid w:val="00582F45"/>
    <w:rsid w:val="00583074"/>
    <w:rsid w:val="00583606"/>
    <w:rsid w:val="0058380B"/>
    <w:rsid w:val="00583C9D"/>
    <w:rsid w:val="00583D16"/>
    <w:rsid w:val="00583F26"/>
    <w:rsid w:val="005842FA"/>
    <w:rsid w:val="00584D67"/>
    <w:rsid w:val="00585101"/>
    <w:rsid w:val="005856A6"/>
    <w:rsid w:val="00585AB1"/>
    <w:rsid w:val="0058615D"/>
    <w:rsid w:val="005869E1"/>
    <w:rsid w:val="00586AA3"/>
    <w:rsid w:val="00586AF4"/>
    <w:rsid w:val="00586E4C"/>
    <w:rsid w:val="00586F70"/>
    <w:rsid w:val="00590604"/>
    <w:rsid w:val="00590685"/>
    <w:rsid w:val="00590953"/>
    <w:rsid w:val="00590FC5"/>
    <w:rsid w:val="005911AA"/>
    <w:rsid w:val="0059134F"/>
    <w:rsid w:val="0059151B"/>
    <w:rsid w:val="005915EA"/>
    <w:rsid w:val="005917A4"/>
    <w:rsid w:val="00591D67"/>
    <w:rsid w:val="00592F5C"/>
    <w:rsid w:val="005934D8"/>
    <w:rsid w:val="005934DA"/>
    <w:rsid w:val="00593DDC"/>
    <w:rsid w:val="00594126"/>
    <w:rsid w:val="00594182"/>
    <w:rsid w:val="005945C7"/>
    <w:rsid w:val="00594700"/>
    <w:rsid w:val="005948FE"/>
    <w:rsid w:val="00594CDC"/>
    <w:rsid w:val="0059595B"/>
    <w:rsid w:val="00595A27"/>
    <w:rsid w:val="00595FC7"/>
    <w:rsid w:val="00596230"/>
    <w:rsid w:val="005968F9"/>
    <w:rsid w:val="005A005C"/>
    <w:rsid w:val="005A0635"/>
    <w:rsid w:val="005A083E"/>
    <w:rsid w:val="005A1940"/>
    <w:rsid w:val="005A19D8"/>
    <w:rsid w:val="005A1B18"/>
    <w:rsid w:val="005A1C97"/>
    <w:rsid w:val="005A1D86"/>
    <w:rsid w:val="005A278D"/>
    <w:rsid w:val="005A2942"/>
    <w:rsid w:val="005A299A"/>
    <w:rsid w:val="005A311D"/>
    <w:rsid w:val="005A330B"/>
    <w:rsid w:val="005A34ED"/>
    <w:rsid w:val="005A4249"/>
    <w:rsid w:val="005A4281"/>
    <w:rsid w:val="005A46B0"/>
    <w:rsid w:val="005A4BF4"/>
    <w:rsid w:val="005A4E1E"/>
    <w:rsid w:val="005A501A"/>
    <w:rsid w:val="005A539A"/>
    <w:rsid w:val="005A542D"/>
    <w:rsid w:val="005A558C"/>
    <w:rsid w:val="005A565F"/>
    <w:rsid w:val="005A598C"/>
    <w:rsid w:val="005A676E"/>
    <w:rsid w:val="005A68F4"/>
    <w:rsid w:val="005A6B6C"/>
    <w:rsid w:val="005A6F08"/>
    <w:rsid w:val="005A70F7"/>
    <w:rsid w:val="005A7C00"/>
    <w:rsid w:val="005A7E5F"/>
    <w:rsid w:val="005A7E8F"/>
    <w:rsid w:val="005B069B"/>
    <w:rsid w:val="005B0769"/>
    <w:rsid w:val="005B077A"/>
    <w:rsid w:val="005B08CE"/>
    <w:rsid w:val="005B1384"/>
    <w:rsid w:val="005B15E7"/>
    <w:rsid w:val="005B1BD5"/>
    <w:rsid w:val="005B1FEF"/>
    <w:rsid w:val="005B2395"/>
    <w:rsid w:val="005B2500"/>
    <w:rsid w:val="005B28BB"/>
    <w:rsid w:val="005B31D6"/>
    <w:rsid w:val="005B3594"/>
    <w:rsid w:val="005B4473"/>
    <w:rsid w:val="005B4F72"/>
    <w:rsid w:val="005B55BA"/>
    <w:rsid w:val="005B5738"/>
    <w:rsid w:val="005B5FDD"/>
    <w:rsid w:val="005B6432"/>
    <w:rsid w:val="005B6B3F"/>
    <w:rsid w:val="005B6BFB"/>
    <w:rsid w:val="005B6C9F"/>
    <w:rsid w:val="005B7196"/>
    <w:rsid w:val="005B7256"/>
    <w:rsid w:val="005B7646"/>
    <w:rsid w:val="005B7685"/>
    <w:rsid w:val="005B7CD2"/>
    <w:rsid w:val="005C0679"/>
    <w:rsid w:val="005C07E2"/>
    <w:rsid w:val="005C0F4F"/>
    <w:rsid w:val="005C0FB6"/>
    <w:rsid w:val="005C10E4"/>
    <w:rsid w:val="005C15CB"/>
    <w:rsid w:val="005C235F"/>
    <w:rsid w:val="005C308F"/>
    <w:rsid w:val="005C3297"/>
    <w:rsid w:val="005C3D38"/>
    <w:rsid w:val="005C3F3B"/>
    <w:rsid w:val="005C40E8"/>
    <w:rsid w:val="005C412F"/>
    <w:rsid w:val="005C4468"/>
    <w:rsid w:val="005C45D7"/>
    <w:rsid w:val="005C4881"/>
    <w:rsid w:val="005C4B11"/>
    <w:rsid w:val="005C4C02"/>
    <w:rsid w:val="005C4F87"/>
    <w:rsid w:val="005C513F"/>
    <w:rsid w:val="005C6164"/>
    <w:rsid w:val="005C6216"/>
    <w:rsid w:val="005C6C76"/>
    <w:rsid w:val="005C6E29"/>
    <w:rsid w:val="005C6F75"/>
    <w:rsid w:val="005C7011"/>
    <w:rsid w:val="005D0438"/>
    <w:rsid w:val="005D0462"/>
    <w:rsid w:val="005D0783"/>
    <w:rsid w:val="005D0B53"/>
    <w:rsid w:val="005D0B9E"/>
    <w:rsid w:val="005D14A4"/>
    <w:rsid w:val="005D1943"/>
    <w:rsid w:val="005D1C46"/>
    <w:rsid w:val="005D206B"/>
    <w:rsid w:val="005D22CE"/>
    <w:rsid w:val="005D33C0"/>
    <w:rsid w:val="005D3665"/>
    <w:rsid w:val="005D3C26"/>
    <w:rsid w:val="005D400B"/>
    <w:rsid w:val="005D45D6"/>
    <w:rsid w:val="005D4EE2"/>
    <w:rsid w:val="005D50CF"/>
    <w:rsid w:val="005D5157"/>
    <w:rsid w:val="005D517E"/>
    <w:rsid w:val="005D5746"/>
    <w:rsid w:val="005D589A"/>
    <w:rsid w:val="005D59FA"/>
    <w:rsid w:val="005D5D45"/>
    <w:rsid w:val="005D5DE5"/>
    <w:rsid w:val="005D62C1"/>
    <w:rsid w:val="005D649C"/>
    <w:rsid w:val="005D6648"/>
    <w:rsid w:val="005D6980"/>
    <w:rsid w:val="005D6BD8"/>
    <w:rsid w:val="005D77A1"/>
    <w:rsid w:val="005E0260"/>
    <w:rsid w:val="005E0374"/>
    <w:rsid w:val="005E0BDF"/>
    <w:rsid w:val="005E1284"/>
    <w:rsid w:val="005E161B"/>
    <w:rsid w:val="005E178A"/>
    <w:rsid w:val="005E1CCC"/>
    <w:rsid w:val="005E2445"/>
    <w:rsid w:val="005E2637"/>
    <w:rsid w:val="005E28AF"/>
    <w:rsid w:val="005E2B03"/>
    <w:rsid w:val="005E2BEF"/>
    <w:rsid w:val="005E2EC7"/>
    <w:rsid w:val="005E30AE"/>
    <w:rsid w:val="005E37F4"/>
    <w:rsid w:val="005E3852"/>
    <w:rsid w:val="005E48F8"/>
    <w:rsid w:val="005E4BA8"/>
    <w:rsid w:val="005E4C55"/>
    <w:rsid w:val="005E4C63"/>
    <w:rsid w:val="005E4CE3"/>
    <w:rsid w:val="005E4E96"/>
    <w:rsid w:val="005E4F35"/>
    <w:rsid w:val="005E5108"/>
    <w:rsid w:val="005E5EB0"/>
    <w:rsid w:val="005E5FC8"/>
    <w:rsid w:val="005E6264"/>
    <w:rsid w:val="005E65C2"/>
    <w:rsid w:val="005E68C2"/>
    <w:rsid w:val="005E6CB4"/>
    <w:rsid w:val="005E6DF8"/>
    <w:rsid w:val="005E76DD"/>
    <w:rsid w:val="005E7FDF"/>
    <w:rsid w:val="005F0170"/>
    <w:rsid w:val="005F0446"/>
    <w:rsid w:val="005F0605"/>
    <w:rsid w:val="005F0757"/>
    <w:rsid w:val="005F0AD2"/>
    <w:rsid w:val="005F0ADE"/>
    <w:rsid w:val="005F0C8E"/>
    <w:rsid w:val="005F171F"/>
    <w:rsid w:val="005F1A8B"/>
    <w:rsid w:val="005F1C61"/>
    <w:rsid w:val="005F1CEE"/>
    <w:rsid w:val="005F202A"/>
    <w:rsid w:val="005F231F"/>
    <w:rsid w:val="005F25F8"/>
    <w:rsid w:val="005F2881"/>
    <w:rsid w:val="005F2F30"/>
    <w:rsid w:val="005F2FC3"/>
    <w:rsid w:val="005F32F2"/>
    <w:rsid w:val="005F3A65"/>
    <w:rsid w:val="005F4034"/>
    <w:rsid w:val="005F44A3"/>
    <w:rsid w:val="005F4605"/>
    <w:rsid w:val="005F4628"/>
    <w:rsid w:val="005F46F3"/>
    <w:rsid w:val="005F48C0"/>
    <w:rsid w:val="005F4BA1"/>
    <w:rsid w:val="005F531C"/>
    <w:rsid w:val="005F5415"/>
    <w:rsid w:val="005F55ED"/>
    <w:rsid w:val="005F58C6"/>
    <w:rsid w:val="005F59E4"/>
    <w:rsid w:val="005F5C71"/>
    <w:rsid w:val="005F62DA"/>
    <w:rsid w:val="005F639C"/>
    <w:rsid w:val="005F65B0"/>
    <w:rsid w:val="005F6AC3"/>
    <w:rsid w:val="005F6C50"/>
    <w:rsid w:val="005F70E2"/>
    <w:rsid w:val="005F7254"/>
    <w:rsid w:val="005F7A78"/>
    <w:rsid w:val="005F7C1B"/>
    <w:rsid w:val="005F7EA2"/>
    <w:rsid w:val="005F7FFE"/>
    <w:rsid w:val="00600C89"/>
    <w:rsid w:val="00600D09"/>
    <w:rsid w:val="00600E7A"/>
    <w:rsid w:val="00600FAB"/>
    <w:rsid w:val="006018E1"/>
    <w:rsid w:val="00602279"/>
    <w:rsid w:val="00602545"/>
    <w:rsid w:val="00602825"/>
    <w:rsid w:val="00602DB5"/>
    <w:rsid w:val="00602EA6"/>
    <w:rsid w:val="0060305B"/>
    <w:rsid w:val="00603758"/>
    <w:rsid w:val="0060463C"/>
    <w:rsid w:val="0060468E"/>
    <w:rsid w:val="006047D4"/>
    <w:rsid w:val="00604813"/>
    <w:rsid w:val="00604C14"/>
    <w:rsid w:val="00605A50"/>
    <w:rsid w:val="00605AB2"/>
    <w:rsid w:val="00605C9A"/>
    <w:rsid w:val="006060A2"/>
    <w:rsid w:val="006061D8"/>
    <w:rsid w:val="00606299"/>
    <w:rsid w:val="00606328"/>
    <w:rsid w:val="00606A97"/>
    <w:rsid w:val="00606C8C"/>
    <w:rsid w:val="00606CBC"/>
    <w:rsid w:val="006074DD"/>
    <w:rsid w:val="006076F6"/>
    <w:rsid w:val="006079F3"/>
    <w:rsid w:val="00607A97"/>
    <w:rsid w:val="006101C2"/>
    <w:rsid w:val="006105EC"/>
    <w:rsid w:val="00610E21"/>
    <w:rsid w:val="0061216D"/>
    <w:rsid w:val="006123EB"/>
    <w:rsid w:val="00612417"/>
    <w:rsid w:val="006143D2"/>
    <w:rsid w:val="006143D9"/>
    <w:rsid w:val="006146B1"/>
    <w:rsid w:val="00615991"/>
    <w:rsid w:val="00615CC1"/>
    <w:rsid w:val="00616411"/>
    <w:rsid w:val="0061717D"/>
    <w:rsid w:val="0061746E"/>
    <w:rsid w:val="00617D4B"/>
    <w:rsid w:val="00617F1A"/>
    <w:rsid w:val="0062019F"/>
    <w:rsid w:val="006205AF"/>
    <w:rsid w:val="00620D1C"/>
    <w:rsid w:val="00620E69"/>
    <w:rsid w:val="00620E95"/>
    <w:rsid w:val="00620E98"/>
    <w:rsid w:val="00621219"/>
    <w:rsid w:val="00621344"/>
    <w:rsid w:val="006217EC"/>
    <w:rsid w:val="00621D9E"/>
    <w:rsid w:val="00621EFF"/>
    <w:rsid w:val="00621F5F"/>
    <w:rsid w:val="0062239C"/>
    <w:rsid w:val="00622412"/>
    <w:rsid w:val="006225CB"/>
    <w:rsid w:val="00622DF1"/>
    <w:rsid w:val="0062320F"/>
    <w:rsid w:val="006237BB"/>
    <w:rsid w:val="006237F5"/>
    <w:rsid w:val="006238B2"/>
    <w:rsid w:val="00624A70"/>
    <w:rsid w:val="006250E6"/>
    <w:rsid w:val="006251B5"/>
    <w:rsid w:val="0062589A"/>
    <w:rsid w:val="00625C9E"/>
    <w:rsid w:val="00626072"/>
    <w:rsid w:val="006263CD"/>
    <w:rsid w:val="00626B61"/>
    <w:rsid w:val="00626F65"/>
    <w:rsid w:val="00626FE2"/>
    <w:rsid w:val="00627004"/>
    <w:rsid w:val="00627010"/>
    <w:rsid w:val="006272B6"/>
    <w:rsid w:val="006274E8"/>
    <w:rsid w:val="00627B42"/>
    <w:rsid w:val="00627DE8"/>
    <w:rsid w:val="0063018A"/>
    <w:rsid w:val="00630485"/>
    <w:rsid w:val="00630E6D"/>
    <w:rsid w:val="0063103E"/>
    <w:rsid w:val="0063244E"/>
    <w:rsid w:val="006324F8"/>
    <w:rsid w:val="006327E6"/>
    <w:rsid w:val="00632960"/>
    <w:rsid w:val="00632A02"/>
    <w:rsid w:val="00632AFD"/>
    <w:rsid w:val="00632E08"/>
    <w:rsid w:val="006330AC"/>
    <w:rsid w:val="0063312C"/>
    <w:rsid w:val="006333C6"/>
    <w:rsid w:val="00633865"/>
    <w:rsid w:val="00633AAF"/>
    <w:rsid w:val="00633AB6"/>
    <w:rsid w:val="00633E39"/>
    <w:rsid w:val="00634268"/>
    <w:rsid w:val="00634293"/>
    <w:rsid w:val="0063430F"/>
    <w:rsid w:val="00634F9D"/>
    <w:rsid w:val="00635010"/>
    <w:rsid w:val="00636681"/>
    <w:rsid w:val="0063715E"/>
    <w:rsid w:val="00637711"/>
    <w:rsid w:val="00637AE2"/>
    <w:rsid w:val="00637F47"/>
    <w:rsid w:val="00640143"/>
    <w:rsid w:val="006402B9"/>
    <w:rsid w:val="00640394"/>
    <w:rsid w:val="006405C0"/>
    <w:rsid w:val="0064111E"/>
    <w:rsid w:val="00641555"/>
    <w:rsid w:val="00642348"/>
    <w:rsid w:val="00642363"/>
    <w:rsid w:val="00642FB4"/>
    <w:rsid w:val="00643682"/>
    <w:rsid w:val="0064378D"/>
    <w:rsid w:val="00643EAE"/>
    <w:rsid w:val="006442C0"/>
    <w:rsid w:val="0064440C"/>
    <w:rsid w:val="006451E4"/>
    <w:rsid w:val="00645504"/>
    <w:rsid w:val="00645A30"/>
    <w:rsid w:val="00645C60"/>
    <w:rsid w:val="0064665F"/>
    <w:rsid w:val="0064699C"/>
    <w:rsid w:val="00646CDE"/>
    <w:rsid w:val="00646FD2"/>
    <w:rsid w:val="00647981"/>
    <w:rsid w:val="00647FCA"/>
    <w:rsid w:val="00650075"/>
    <w:rsid w:val="006506D8"/>
    <w:rsid w:val="006508A5"/>
    <w:rsid w:val="00650A15"/>
    <w:rsid w:val="00650F06"/>
    <w:rsid w:val="006513B1"/>
    <w:rsid w:val="00651ABB"/>
    <w:rsid w:val="00652263"/>
    <w:rsid w:val="00652582"/>
    <w:rsid w:val="006527F3"/>
    <w:rsid w:val="00652897"/>
    <w:rsid w:val="006530FD"/>
    <w:rsid w:val="0065357F"/>
    <w:rsid w:val="006541B9"/>
    <w:rsid w:val="00654289"/>
    <w:rsid w:val="00654455"/>
    <w:rsid w:val="00654663"/>
    <w:rsid w:val="006546BE"/>
    <w:rsid w:val="0065470E"/>
    <w:rsid w:val="00654919"/>
    <w:rsid w:val="00654B13"/>
    <w:rsid w:val="00654F59"/>
    <w:rsid w:val="00655185"/>
    <w:rsid w:val="006552E1"/>
    <w:rsid w:val="006554DE"/>
    <w:rsid w:val="00655D9A"/>
    <w:rsid w:val="00656606"/>
    <w:rsid w:val="006568BA"/>
    <w:rsid w:val="006571A0"/>
    <w:rsid w:val="006575E4"/>
    <w:rsid w:val="006577F3"/>
    <w:rsid w:val="0065798F"/>
    <w:rsid w:val="00657A75"/>
    <w:rsid w:val="00657BE4"/>
    <w:rsid w:val="00657C89"/>
    <w:rsid w:val="00657DCC"/>
    <w:rsid w:val="00657F22"/>
    <w:rsid w:val="00657F7B"/>
    <w:rsid w:val="00660753"/>
    <w:rsid w:val="00660781"/>
    <w:rsid w:val="006607EF"/>
    <w:rsid w:val="00661378"/>
    <w:rsid w:val="00661591"/>
    <w:rsid w:val="00661C02"/>
    <w:rsid w:val="006623B3"/>
    <w:rsid w:val="006624FD"/>
    <w:rsid w:val="00662A33"/>
    <w:rsid w:val="00663C07"/>
    <w:rsid w:val="00663E79"/>
    <w:rsid w:val="00663F4A"/>
    <w:rsid w:val="006647B0"/>
    <w:rsid w:val="00664ED8"/>
    <w:rsid w:val="0066553C"/>
    <w:rsid w:val="00665845"/>
    <w:rsid w:val="0066590C"/>
    <w:rsid w:val="006664D4"/>
    <w:rsid w:val="006670F3"/>
    <w:rsid w:val="006672ED"/>
    <w:rsid w:val="00667309"/>
    <w:rsid w:val="006675D2"/>
    <w:rsid w:val="006702D5"/>
    <w:rsid w:val="00670362"/>
    <w:rsid w:val="0067085F"/>
    <w:rsid w:val="00670BEF"/>
    <w:rsid w:val="00670E38"/>
    <w:rsid w:val="006716AD"/>
    <w:rsid w:val="00671BDC"/>
    <w:rsid w:val="00671F1B"/>
    <w:rsid w:val="006720CF"/>
    <w:rsid w:val="006720EF"/>
    <w:rsid w:val="006724D6"/>
    <w:rsid w:val="0067253B"/>
    <w:rsid w:val="00672F58"/>
    <w:rsid w:val="006731C1"/>
    <w:rsid w:val="00674878"/>
    <w:rsid w:val="00674AE1"/>
    <w:rsid w:val="00675474"/>
    <w:rsid w:val="006754EC"/>
    <w:rsid w:val="00675560"/>
    <w:rsid w:val="00675590"/>
    <w:rsid w:val="0067570D"/>
    <w:rsid w:val="00675AAA"/>
    <w:rsid w:val="00675CF5"/>
    <w:rsid w:val="00675E18"/>
    <w:rsid w:val="0067623F"/>
    <w:rsid w:val="00676626"/>
    <w:rsid w:val="00676740"/>
    <w:rsid w:val="00676A20"/>
    <w:rsid w:val="00676A57"/>
    <w:rsid w:val="00677225"/>
    <w:rsid w:val="0067741B"/>
    <w:rsid w:val="00677868"/>
    <w:rsid w:val="006779F7"/>
    <w:rsid w:val="00680308"/>
    <w:rsid w:val="00680331"/>
    <w:rsid w:val="00680473"/>
    <w:rsid w:val="00680AE4"/>
    <w:rsid w:val="00680E10"/>
    <w:rsid w:val="00680EE1"/>
    <w:rsid w:val="0068137B"/>
    <w:rsid w:val="006816FE"/>
    <w:rsid w:val="006821AC"/>
    <w:rsid w:val="00682FA9"/>
    <w:rsid w:val="00683D5D"/>
    <w:rsid w:val="00684877"/>
    <w:rsid w:val="00684ADD"/>
    <w:rsid w:val="00685517"/>
    <w:rsid w:val="00685CFB"/>
    <w:rsid w:val="006864AE"/>
    <w:rsid w:val="006864FF"/>
    <w:rsid w:val="0068673A"/>
    <w:rsid w:val="0068673C"/>
    <w:rsid w:val="00686895"/>
    <w:rsid w:val="00686D70"/>
    <w:rsid w:val="006874ED"/>
    <w:rsid w:val="00687F95"/>
    <w:rsid w:val="00690579"/>
    <w:rsid w:val="006906A8"/>
    <w:rsid w:val="00690911"/>
    <w:rsid w:val="0069108E"/>
    <w:rsid w:val="00691238"/>
    <w:rsid w:val="0069274E"/>
    <w:rsid w:val="00692913"/>
    <w:rsid w:val="006934B1"/>
    <w:rsid w:val="00694218"/>
    <w:rsid w:val="0069437F"/>
    <w:rsid w:val="00694455"/>
    <w:rsid w:val="00695042"/>
    <w:rsid w:val="00695889"/>
    <w:rsid w:val="0069598E"/>
    <w:rsid w:val="00695D12"/>
    <w:rsid w:val="00696498"/>
    <w:rsid w:val="0069697D"/>
    <w:rsid w:val="006A056C"/>
    <w:rsid w:val="006A09D2"/>
    <w:rsid w:val="006A0D7F"/>
    <w:rsid w:val="006A160E"/>
    <w:rsid w:val="006A175D"/>
    <w:rsid w:val="006A178A"/>
    <w:rsid w:val="006A17A9"/>
    <w:rsid w:val="006A18F3"/>
    <w:rsid w:val="006A19AB"/>
    <w:rsid w:val="006A1B43"/>
    <w:rsid w:val="006A29DB"/>
    <w:rsid w:val="006A3358"/>
    <w:rsid w:val="006A3754"/>
    <w:rsid w:val="006A3C86"/>
    <w:rsid w:val="006A4000"/>
    <w:rsid w:val="006A4442"/>
    <w:rsid w:val="006A488D"/>
    <w:rsid w:val="006A4A2C"/>
    <w:rsid w:val="006A4D45"/>
    <w:rsid w:val="006A5713"/>
    <w:rsid w:val="006A577F"/>
    <w:rsid w:val="006A5887"/>
    <w:rsid w:val="006A5BD8"/>
    <w:rsid w:val="006A5DE8"/>
    <w:rsid w:val="006A652C"/>
    <w:rsid w:val="006A657B"/>
    <w:rsid w:val="006A6ADB"/>
    <w:rsid w:val="006A6B2D"/>
    <w:rsid w:val="006A6C2C"/>
    <w:rsid w:val="006A6CD4"/>
    <w:rsid w:val="006A6D9D"/>
    <w:rsid w:val="006A6E0D"/>
    <w:rsid w:val="006A6ED9"/>
    <w:rsid w:val="006A6FE1"/>
    <w:rsid w:val="006A73E5"/>
    <w:rsid w:val="006A74DB"/>
    <w:rsid w:val="006A7663"/>
    <w:rsid w:val="006A7F78"/>
    <w:rsid w:val="006B03AA"/>
    <w:rsid w:val="006B1A92"/>
    <w:rsid w:val="006B1D57"/>
    <w:rsid w:val="006B2046"/>
    <w:rsid w:val="006B2146"/>
    <w:rsid w:val="006B21CB"/>
    <w:rsid w:val="006B22BE"/>
    <w:rsid w:val="006B2381"/>
    <w:rsid w:val="006B26FD"/>
    <w:rsid w:val="006B28BC"/>
    <w:rsid w:val="006B2EA0"/>
    <w:rsid w:val="006B3188"/>
    <w:rsid w:val="006B36EF"/>
    <w:rsid w:val="006B3C86"/>
    <w:rsid w:val="006B4D1B"/>
    <w:rsid w:val="006B4E1C"/>
    <w:rsid w:val="006B528D"/>
    <w:rsid w:val="006B548F"/>
    <w:rsid w:val="006B5583"/>
    <w:rsid w:val="006B5C5B"/>
    <w:rsid w:val="006B6179"/>
    <w:rsid w:val="006B62AF"/>
    <w:rsid w:val="006B6703"/>
    <w:rsid w:val="006B739B"/>
    <w:rsid w:val="006B73E5"/>
    <w:rsid w:val="006B7AF4"/>
    <w:rsid w:val="006B7C01"/>
    <w:rsid w:val="006B7D6D"/>
    <w:rsid w:val="006B7D8C"/>
    <w:rsid w:val="006C0352"/>
    <w:rsid w:val="006C0353"/>
    <w:rsid w:val="006C03C5"/>
    <w:rsid w:val="006C03D2"/>
    <w:rsid w:val="006C04DE"/>
    <w:rsid w:val="006C0884"/>
    <w:rsid w:val="006C0FE6"/>
    <w:rsid w:val="006C25F2"/>
    <w:rsid w:val="006C2998"/>
    <w:rsid w:val="006C2C29"/>
    <w:rsid w:val="006C310F"/>
    <w:rsid w:val="006C32EE"/>
    <w:rsid w:val="006C336D"/>
    <w:rsid w:val="006C3808"/>
    <w:rsid w:val="006C3831"/>
    <w:rsid w:val="006C3E6A"/>
    <w:rsid w:val="006C4248"/>
    <w:rsid w:val="006C5CC2"/>
    <w:rsid w:val="006C6274"/>
    <w:rsid w:val="006C672F"/>
    <w:rsid w:val="006C683C"/>
    <w:rsid w:val="006C6893"/>
    <w:rsid w:val="006C6B7D"/>
    <w:rsid w:val="006C7134"/>
    <w:rsid w:val="006C71A8"/>
    <w:rsid w:val="006C7439"/>
    <w:rsid w:val="006C7899"/>
    <w:rsid w:val="006C7D19"/>
    <w:rsid w:val="006C7DCF"/>
    <w:rsid w:val="006C7F26"/>
    <w:rsid w:val="006D021D"/>
    <w:rsid w:val="006D05A2"/>
    <w:rsid w:val="006D09DF"/>
    <w:rsid w:val="006D0A76"/>
    <w:rsid w:val="006D0A98"/>
    <w:rsid w:val="006D0AC5"/>
    <w:rsid w:val="006D0DC7"/>
    <w:rsid w:val="006D0F63"/>
    <w:rsid w:val="006D1144"/>
    <w:rsid w:val="006D1175"/>
    <w:rsid w:val="006D1425"/>
    <w:rsid w:val="006D15C1"/>
    <w:rsid w:val="006D17FF"/>
    <w:rsid w:val="006D184C"/>
    <w:rsid w:val="006D19AD"/>
    <w:rsid w:val="006D29BB"/>
    <w:rsid w:val="006D2A1E"/>
    <w:rsid w:val="006D2B18"/>
    <w:rsid w:val="006D2FF7"/>
    <w:rsid w:val="006D30E3"/>
    <w:rsid w:val="006D3244"/>
    <w:rsid w:val="006D34C9"/>
    <w:rsid w:val="006D3A7D"/>
    <w:rsid w:val="006D45A3"/>
    <w:rsid w:val="006D527E"/>
    <w:rsid w:val="006D5537"/>
    <w:rsid w:val="006D57CE"/>
    <w:rsid w:val="006D673D"/>
    <w:rsid w:val="006D6786"/>
    <w:rsid w:val="006D6BD1"/>
    <w:rsid w:val="006D6E3A"/>
    <w:rsid w:val="006D77C7"/>
    <w:rsid w:val="006D7A77"/>
    <w:rsid w:val="006D7AD6"/>
    <w:rsid w:val="006D7E98"/>
    <w:rsid w:val="006E0452"/>
    <w:rsid w:val="006E067E"/>
    <w:rsid w:val="006E0AF1"/>
    <w:rsid w:val="006E0D94"/>
    <w:rsid w:val="006E0E2E"/>
    <w:rsid w:val="006E15D4"/>
    <w:rsid w:val="006E1A19"/>
    <w:rsid w:val="006E1BFA"/>
    <w:rsid w:val="006E1C64"/>
    <w:rsid w:val="006E1F37"/>
    <w:rsid w:val="006E24CF"/>
    <w:rsid w:val="006E290A"/>
    <w:rsid w:val="006E2AFD"/>
    <w:rsid w:val="006E36CC"/>
    <w:rsid w:val="006E37F3"/>
    <w:rsid w:val="006E3FF3"/>
    <w:rsid w:val="006E46BF"/>
    <w:rsid w:val="006E47C9"/>
    <w:rsid w:val="006E5537"/>
    <w:rsid w:val="006E58F8"/>
    <w:rsid w:val="006E6051"/>
    <w:rsid w:val="006E6CAB"/>
    <w:rsid w:val="006E6CF1"/>
    <w:rsid w:val="006E6ED6"/>
    <w:rsid w:val="006E7258"/>
    <w:rsid w:val="006E7655"/>
    <w:rsid w:val="006E7B04"/>
    <w:rsid w:val="006F04A3"/>
    <w:rsid w:val="006F0F86"/>
    <w:rsid w:val="006F10A7"/>
    <w:rsid w:val="006F12FC"/>
    <w:rsid w:val="006F2866"/>
    <w:rsid w:val="006F28F4"/>
    <w:rsid w:val="006F313E"/>
    <w:rsid w:val="006F3145"/>
    <w:rsid w:val="006F35EC"/>
    <w:rsid w:val="006F4085"/>
    <w:rsid w:val="006F4887"/>
    <w:rsid w:val="006F4F3F"/>
    <w:rsid w:val="006F4F88"/>
    <w:rsid w:val="006F508E"/>
    <w:rsid w:val="006F542E"/>
    <w:rsid w:val="006F5B4B"/>
    <w:rsid w:val="006F63AB"/>
    <w:rsid w:val="006F6A3C"/>
    <w:rsid w:val="006F6CC7"/>
    <w:rsid w:val="006F7B98"/>
    <w:rsid w:val="007003E0"/>
    <w:rsid w:val="00700987"/>
    <w:rsid w:val="0070105B"/>
    <w:rsid w:val="00701244"/>
    <w:rsid w:val="00701C94"/>
    <w:rsid w:val="00701E98"/>
    <w:rsid w:val="00702049"/>
    <w:rsid w:val="0070216D"/>
    <w:rsid w:val="00702441"/>
    <w:rsid w:val="007029C8"/>
    <w:rsid w:val="0070322E"/>
    <w:rsid w:val="00703500"/>
    <w:rsid w:val="00703C6B"/>
    <w:rsid w:val="00704383"/>
    <w:rsid w:val="007048ED"/>
    <w:rsid w:val="00704C68"/>
    <w:rsid w:val="00704DC6"/>
    <w:rsid w:val="007052B6"/>
    <w:rsid w:val="0070591A"/>
    <w:rsid w:val="00705B32"/>
    <w:rsid w:val="00705CA3"/>
    <w:rsid w:val="0070616D"/>
    <w:rsid w:val="007061B8"/>
    <w:rsid w:val="007063E9"/>
    <w:rsid w:val="00706632"/>
    <w:rsid w:val="00706A8E"/>
    <w:rsid w:val="00706BF8"/>
    <w:rsid w:val="00707401"/>
    <w:rsid w:val="00707455"/>
    <w:rsid w:val="00707920"/>
    <w:rsid w:val="00707D8A"/>
    <w:rsid w:val="00707DB3"/>
    <w:rsid w:val="00707E0B"/>
    <w:rsid w:val="0071046D"/>
    <w:rsid w:val="007109B0"/>
    <w:rsid w:val="00710C4A"/>
    <w:rsid w:val="00710FFA"/>
    <w:rsid w:val="007114E0"/>
    <w:rsid w:val="00711CA8"/>
    <w:rsid w:val="00711D1B"/>
    <w:rsid w:val="00711DF6"/>
    <w:rsid w:val="007121EB"/>
    <w:rsid w:val="0071221D"/>
    <w:rsid w:val="00712B13"/>
    <w:rsid w:val="00712F26"/>
    <w:rsid w:val="00712F38"/>
    <w:rsid w:val="007132C4"/>
    <w:rsid w:val="007133D4"/>
    <w:rsid w:val="00713495"/>
    <w:rsid w:val="0071362F"/>
    <w:rsid w:val="00713A48"/>
    <w:rsid w:val="00713C6F"/>
    <w:rsid w:val="00713CA6"/>
    <w:rsid w:val="00713FE8"/>
    <w:rsid w:val="007141B1"/>
    <w:rsid w:val="00715121"/>
    <w:rsid w:val="0071513E"/>
    <w:rsid w:val="007158C4"/>
    <w:rsid w:val="00715B88"/>
    <w:rsid w:val="00715F55"/>
    <w:rsid w:val="00716204"/>
    <w:rsid w:val="00716572"/>
    <w:rsid w:val="00716C1A"/>
    <w:rsid w:val="0071787E"/>
    <w:rsid w:val="007179BB"/>
    <w:rsid w:val="00720132"/>
    <w:rsid w:val="00720515"/>
    <w:rsid w:val="00720C37"/>
    <w:rsid w:val="00720C75"/>
    <w:rsid w:val="007213AA"/>
    <w:rsid w:val="00721B81"/>
    <w:rsid w:val="00721DDC"/>
    <w:rsid w:val="00721F4E"/>
    <w:rsid w:val="00722126"/>
    <w:rsid w:val="00722552"/>
    <w:rsid w:val="007227E4"/>
    <w:rsid w:val="00723551"/>
    <w:rsid w:val="00723A2B"/>
    <w:rsid w:val="007244DF"/>
    <w:rsid w:val="0072472C"/>
    <w:rsid w:val="0072475C"/>
    <w:rsid w:val="00724AC2"/>
    <w:rsid w:val="00724D7F"/>
    <w:rsid w:val="00724E29"/>
    <w:rsid w:val="00724EB3"/>
    <w:rsid w:val="00725912"/>
    <w:rsid w:val="00725AF0"/>
    <w:rsid w:val="00725E3A"/>
    <w:rsid w:val="0072616C"/>
    <w:rsid w:val="007267A9"/>
    <w:rsid w:val="00726871"/>
    <w:rsid w:val="00726E4F"/>
    <w:rsid w:val="00727724"/>
    <w:rsid w:val="007278F1"/>
    <w:rsid w:val="0073063D"/>
    <w:rsid w:val="0073094A"/>
    <w:rsid w:val="00730CF4"/>
    <w:rsid w:val="00731069"/>
    <w:rsid w:val="0073112B"/>
    <w:rsid w:val="00731A06"/>
    <w:rsid w:val="00731AE1"/>
    <w:rsid w:val="00731BC8"/>
    <w:rsid w:val="00731D0A"/>
    <w:rsid w:val="00731F38"/>
    <w:rsid w:val="00732086"/>
    <w:rsid w:val="007321EC"/>
    <w:rsid w:val="00732475"/>
    <w:rsid w:val="0073249E"/>
    <w:rsid w:val="007327F0"/>
    <w:rsid w:val="00732954"/>
    <w:rsid w:val="0073330C"/>
    <w:rsid w:val="00733671"/>
    <w:rsid w:val="00733A7F"/>
    <w:rsid w:val="00733B00"/>
    <w:rsid w:val="00733D5E"/>
    <w:rsid w:val="00733D64"/>
    <w:rsid w:val="0073406B"/>
    <w:rsid w:val="00734E04"/>
    <w:rsid w:val="00735044"/>
    <w:rsid w:val="007350A5"/>
    <w:rsid w:val="007351D9"/>
    <w:rsid w:val="0073532E"/>
    <w:rsid w:val="00736299"/>
    <w:rsid w:val="007366BB"/>
    <w:rsid w:val="00736980"/>
    <w:rsid w:val="007369B7"/>
    <w:rsid w:val="00736CE8"/>
    <w:rsid w:val="00736F2B"/>
    <w:rsid w:val="00736F93"/>
    <w:rsid w:val="00737013"/>
    <w:rsid w:val="00737589"/>
    <w:rsid w:val="00737ACF"/>
    <w:rsid w:val="00737CE4"/>
    <w:rsid w:val="00737E99"/>
    <w:rsid w:val="00737F21"/>
    <w:rsid w:val="00740341"/>
    <w:rsid w:val="007403A0"/>
    <w:rsid w:val="00740819"/>
    <w:rsid w:val="00740AF5"/>
    <w:rsid w:val="00740DD6"/>
    <w:rsid w:val="00741686"/>
    <w:rsid w:val="00741721"/>
    <w:rsid w:val="00741843"/>
    <w:rsid w:val="00741A19"/>
    <w:rsid w:val="00741C58"/>
    <w:rsid w:val="00741DD2"/>
    <w:rsid w:val="00741E87"/>
    <w:rsid w:val="00741FCF"/>
    <w:rsid w:val="00741FF3"/>
    <w:rsid w:val="00742544"/>
    <w:rsid w:val="00742649"/>
    <w:rsid w:val="0074285E"/>
    <w:rsid w:val="00743075"/>
    <w:rsid w:val="00743A3E"/>
    <w:rsid w:val="00743CE5"/>
    <w:rsid w:val="007444CF"/>
    <w:rsid w:val="0074507C"/>
    <w:rsid w:val="0074520E"/>
    <w:rsid w:val="00745365"/>
    <w:rsid w:val="00745551"/>
    <w:rsid w:val="00745DF6"/>
    <w:rsid w:val="00746CB4"/>
    <w:rsid w:val="0074703A"/>
    <w:rsid w:val="007471B0"/>
    <w:rsid w:val="0074771C"/>
    <w:rsid w:val="0074775F"/>
    <w:rsid w:val="00747BA2"/>
    <w:rsid w:val="00750653"/>
    <w:rsid w:val="007506D8"/>
    <w:rsid w:val="007507DC"/>
    <w:rsid w:val="007507F6"/>
    <w:rsid w:val="0075119B"/>
    <w:rsid w:val="00751579"/>
    <w:rsid w:val="0075167B"/>
    <w:rsid w:val="0075167C"/>
    <w:rsid w:val="0075174B"/>
    <w:rsid w:val="007517CC"/>
    <w:rsid w:val="00751F46"/>
    <w:rsid w:val="00751FEF"/>
    <w:rsid w:val="0075205E"/>
    <w:rsid w:val="00752B1C"/>
    <w:rsid w:val="007530DB"/>
    <w:rsid w:val="00754684"/>
    <w:rsid w:val="0075519A"/>
    <w:rsid w:val="00755883"/>
    <w:rsid w:val="0075593D"/>
    <w:rsid w:val="00755ACC"/>
    <w:rsid w:val="00755F04"/>
    <w:rsid w:val="00756A57"/>
    <w:rsid w:val="00756F7C"/>
    <w:rsid w:val="00756F8D"/>
    <w:rsid w:val="00757090"/>
    <w:rsid w:val="007570BF"/>
    <w:rsid w:val="00757588"/>
    <w:rsid w:val="00757FA4"/>
    <w:rsid w:val="007602D4"/>
    <w:rsid w:val="00760986"/>
    <w:rsid w:val="00760C4E"/>
    <w:rsid w:val="00761762"/>
    <w:rsid w:val="00761C29"/>
    <w:rsid w:val="00761C80"/>
    <w:rsid w:val="007621B8"/>
    <w:rsid w:val="007622B0"/>
    <w:rsid w:val="0076251E"/>
    <w:rsid w:val="00763005"/>
    <w:rsid w:val="00763058"/>
    <w:rsid w:val="00763501"/>
    <w:rsid w:val="00763618"/>
    <w:rsid w:val="00763849"/>
    <w:rsid w:val="0076388E"/>
    <w:rsid w:val="00763979"/>
    <w:rsid w:val="00763E1C"/>
    <w:rsid w:val="00763EB9"/>
    <w:rsid w:val="007642B9"/>
    <w:rsid w:val="00764F8E"/>
    <w:rsid w:val="0076577E"/>
    <w:rsid w:val="00765B6D"/>
    <w:rsid w:val="00765C3A"/>
    <w:rsid w:val="0076614E"/>
    <w:rsid w:val="00766617"/>
    <w:rsid w:val="00766ABC"/>
    <w:rsid w:val="007671C1"/>
    <w:rsid w:val="007673DA"/>
    <w:rsid w:val="007676F5"/>
    <w:rsid w:val="00767AAE"/>
    <w:rsid w:val="00767AFC"/>
    <w:rsid w:val="00770179"/>
    <w:rsid w:val="00770248"/>
    <w:rsid w:val="0077033D"/>
    <w:rsid w:val="00770749"/>
    <w:rsid w:val="00770A7E"/>
    <w:rsid w:val="00770B38"/>
    <w:rsid w:val="007710A5"/>
    <w:rsid w:val="007711B2"/>
    <w:rsid w:val="00771E2C"/>
    <w:rsid w:val="00771F37"/>
    <w:rsid w:val="00772215"/>
    <w:rsid w:val="00772607"/>
    <w:rsid w:val="00772827"/>
    <w:rsid w:val="00772915"/>
    <w:rsid w:val="00772964"/>
    <w:rsid w:val="00773928"/>
    <w:rsid w:val="007739F7"/>
    <w:rsid w:val="00773E3E"/>
    <w:rsid w:val="007745E4"/>
    <w:rsid w:val="00774792"/>
    <w:rsid w:val="007748CE"/>
    <w:rsid w:val="00774BA7"/>
    <w:rsid w:val="00774CEA"/>
    <w:rsid w:val="00774E52"/>
    <w:rsid w:val="00774F15"/>
    <w:rsid w:val="00776175"/>
    <w:rsid w:val="00777096"/>
    <w:rsid w:val="007771C6"/>
    <w:rsid w:val="00777481"/>
    <w:rsid w:val="007774B2"/>
    <w:rsid w:val="007777C5"/>
    <w:rsid w:val="007803F4"/>
    <w:rsid w:val="007806AE"/>
    <w:rsid w:val="00780715"/>
    <w:rsid w:val="00780E27"/>
    <w:rsid w:val="00781036"/>
    <w:rsid w:val="007810C7"/>
    <w:rsid w:val="00781834"/>
    <w:rsid w:val="00782DBC"/>
    <w:rsid w:val="00783774"/>
    <w:rsid w:val="00783A24"/>
    <w:rsid w:val="00783ECD"/>
    <w:rsid w:val="0078412D"/>
    <w:rsid w:val="0078503B"/>
    <w:rsid w:val="007854F4"/>
    <w:rsid w:val="007859CD"/>
    <w:rsid w:val="007860BF"/>
    <w:rsid w:val="00786800"/>
    <w:rsid w:val="0078694A"/>
    <w:rsid w:val="00786B65"/>
    <w:rsid w:val="00786E63"/>
    <w:rsid w:val="00787102"/>
    <w:rsid w:val="00787231"/>
    <w:rsid w:val="00787553"/>
    <w:rsid w:val="00787625"/>
    <w:rsid w:val="007877A7"/>
    <w:rsid w:val="00787B9B"/>
    <w:rsid w:val="00790165"/>
    <w:rsid w:val="00790292"/>
    <w:rsid w:val="007907A5"/>
    <w:rsid w:val="00790DE0"/>
    <w:rsid w:val="0079100A"/>
    <w:rsid w:val="00791503"/>
    <w:rsid w:val="00792460"/>
    <w:rsid w:val="00792766"/>
    <w:rsid w:val="0079311C"/>
    <w:rsid w:val="007935DD"/>
    <w:rsid w:val="00793C45"/>
    <w:rsid w:val="0079494B"/>
    <w:rsid w:val="00794CFA"/>
    <w:rsid w:val="00794DEA"/>
    <w:rsid w:val="00794FFA"/>
    <w:rsid w:val="0079516C"/>
    <w:rsid w:val="007954BB"/>
    <w:rsid w:val="00795790"/>
    <w:rsid w:val="00795822"/>
    <w:rsid w:val="00795876"/>
    <w:rsid w:val="00795BDD"/>
    <w:rsid w:val="00795E0F"/>
    <w:rsid w:val="007965A6"/>
    <w:rsid w:val="00797463"/>
    <w:rsid w:val="007978C6"/>
    <w:rsid w:val="0079790A"/>
    <w:rsid w:val="00797A87"/>
    <w:rsid w:val="00797E65"/>
    <w:rsid w:val="007A0CAE"/>
    <w:rsid w:val="007A0DB7"/>
    <w:rsid w:val="007A108D"/>
    <w:rsid w:val="007A12DA"/>
    <w:rsid w:val="007A14FF"/>
    <w:rsid w:val="007A1B0E"/>
    <w:rsid w:val="007A1C1F"/>
    <w:rsid w:val="007A22C1"/>
    <w:rsid w:val="007A26C7"/>
    <w:rsid w:val="007A2824"/>
    <w:rsid w:val="007A29A9"/>
    <w:rsid w:val="007A335E"/>
    <w:rsid w:val="007A3421"/>
    <w:rsid w:val="007A3B91"/>
    <w:rsid w:val="007A407B"/>
    <w:rsid w:val="007A45EB"/>
    <w:rsid w:val="007A478C"/>
    <w:rsid w:val="007A4B06"/>
    <w:rsid w:val="007A4B23"/>
    <w:rsid w:val="007A4C00"/>
    <w:rsid w:val="007A5129"/>
    <w:rsid w:val="007A55D9"/>
    <w:rsid w:val="007A568C"/>
    <w:rsid w:val="007A5C77"/>
    <w:rsid w:val="007A5D81"/>
    <w:rsid w:val="007A5E60"/>
    <w:rsid w:val="007A5E9C"/>
    <w:rsid w:val="007A609B"/>
    <w:rsid w:val="007A6360"/>
    <w:rsid w:val="007A6445"/>
    <w:rsid w:val="007A665C"/>
    <w:rsid w:val="007A6715"/>
    <w:rsid w:val="007A6733"/>
    <w:rsid w:val="007A6A2C"/>
    <w:rsid w:val="007A6D3C"/>
    <w:rsid w:val="007A71BC"/>
    <w:rsid w:val="007A7988"/>
    <w:rsid w:val="007A7CA4"/>
    <w:rsid w:val="007B088F"/>
    <w:rsid w:val="007B1916"/>
    <w:rsid w:val="007B1BA4"/>
    <w:rsid w:val="007B1EED"/>
    <w:rsid w:val="007B2623"/>
    <w:rsid w:val="007B29A5"/>
    <w:rsid w:val="007B2A0D"/>
    <w:rsid w:val="007B37BC"/>
    <w:rsid w:val="007B38C0"/>
    <w:rsid w:val="007B38D0"/>
    <w:rsid w:val="007B3AAF"/>
    <w:rsid w:val="007B41DC"/>
    <w:rsid w:val="007B485F"/>
    <w:rsid w:val="007B5C35"/>
    <w:rsid w:val="007B5C3C"/>
    <w:rsid w:val="007B5DED"/>
    <w:rsid w:val="007B5F27"/>
    <w:rsid w:val="007B67B2"/>
    <w:rsid w:val="007B6900"/>
    <w:rsid w:val="007B6D9A"/>
    <w:rsid w:val="007B6DD1"/>
    <w:rsid w:val="007B79EE"/>
    <w:rsid w:val="007B7D2C"/>
    <w:rsid w:val="007C01C9"/>
    <w:rsid w:val="007C0DFD"/>
    <w:rsid w:val="007C0F6C"/>
    <w:rsid w:val="007C19D5"/>
    <w:rsid w:val="007C1FE2"/>
    <w:rsid w:val="007C2655"/>
    <w:rsid w:val="007C29AF"/>
    <w:rsid w:val="007C2B89"/>
    <w:rsid w:val="007C2BC1"/>
    <w:rsid w:val="007C2D4E"/>
    <w:rsid w:val="007C3264"/>
    <w:rsid w:val="007C3C06"/>
    <w:rsid w:val="007C3CA2"/>
    <w:rsid w:val="007C42AA"/>
    <w:rsid w:val="007C42E4"/>
    <w:rsid w:val="007C4481"/>
    <w:rsid w:val="007C44FC"/>
    <w:rsid w:val="007C4C9D"/>
    <w:rsid w:val="007C4CFC"/>
    <w:rsid w:val="007C50FC"/>
    <w:rsid w:val="007C52F0"/>
    <w:rsid w:val="007C5A69"/>
    <w:rsid w:val="007C632A"/>
    <w:rsid w:val="007C6BDE"/>
    <w:rsid w:val="007C6C01"/>
    <w:rsid w:val="007C7694"/>
    <w:rsid w:val="007C7B7E"/>
    <w:rsid w:val="007C7CDD"/>
    <w:rsid w:val="007D05DE"/>
    <w:rsid w:val="007D066F"/>
    <w:rsid w:val="007D0836"/>
    <w:rsid w:val="007D088B"/>
    <w:rsid w:val="007D0909"/>
    <w:rsid w:val="007D0AEE"/>
    <w:rsid w:val="007D0CAA"/>
    <w:rsid w:val="007D10DD"/>
    <w:rsid w:val="007D1390"/>
    <w:rsid w:val="007D1C98"/>
    <w:rsid w:val="007D200A"/>
    <w:rsid w:val="007D22EF"/>
    <w:rsid w:val="007D248D"/>
    <w:rsid w:val="007D2D25"/>
    <w:rsid w:val="007D2D3D"/>
    <w:rsid w:val="007D2D74"/>
    <w:rsid w:val="007D3323"/>
    <w:rsid w:val="007D3353"/>
    <w:rsid w:val="007D3B66"/>
    <w:rsid w:val="007D3ECB"/>
    <w:rsid w:val="007D4B36"/>
    <w:rsid w:val="007D4B70"/>
    <w:rsid w:val="007D5367"/>
    <w:rsid w:val="007D64B2"/>
    <w:rsid w:val="007D64B8"/>
    <w:rsid w:val="007D6865"/>
    <w:rsid w:val="007D6C39"/>
    <w:rsid w:val="007D703A"/>
    <w:rsid w:val="007D77D4"/>
    <w:rsid w:val="007D787A"/>
    <w:rsid w:val="007D7C3F"/>
    <w:rsid w:val="007D7FDF"/>
    <w:rsid w:val="007E00F1"/>
    <w:rsid w:val="007E0182"/>
    <w:rsid w:val="007E0716"/>
    <w:rsid w:val="007E0E48"/>
    <w:rsid w:val="007E1312"/>
    <w:rsid w:val="007E216C"/>
    <w:rsid w:val="007E315D"/>
    <w:rsid w:val="007E319A"/>
    <w:rsid w:val="007E344F"/>
    <w:rsid w:val="007E3749"/>
    <w:rsid w:val="007E3824"/>
    <w:rsid w:val="007E3852"/>
    <w:rsid w:val="007E3859"/>
    <w:rsid w:val="007E3A3C"/>
    <w:rsid w:val="007E3A46"/>
    <w:rsid w:val="007E3DA1"/>
    <w:rsid w:val="007E462F"/>
    <w:rsid w:val="007E4B0C"/>
    <w:rsid w:val="007E56AB"/>
    <w:rsid w:val="007E57E1"/>
    <w:rsid w:val="007E585C"/>
    <w:rsid w:val="007E5A98"/>
    <w:rsid w:val="007E5F63"/>
    <w:rsid w:val="007E66BC"/>
    <w:rsid w:val="007E6A98"/>
    <w:rsid w:val="007E72FC"/>
    <w:rsid w:val="007E767D"/>
    <w:rsid w:val="007E77CE"/>
    <w:rsid w:val="007E7A17"/>
    <w:rsid w:val="007F0069"/>
    <w:rsid w:val="007F0133"/>
    <w:rsid w:val="007F03D0"/>
    <w:rsid w:val="007F0419"/>
    <w:rsid w:val="007F0995"/>
    <w:rsid w:val="007F19B2"/>
    <w:rsid w:val="007F1D9E"/>
    <w:rsid w:val="007F1EEC"/>
    <w:rsid w:val="007F25D4"/>
    <w:rsid w:val="007F264E"/>
    <w:rsid w:val="007F2E7B"/>
    <w:rsid w:val="007F2F37"/>
    <w:rsid w:val="007F306F"/>
    <w:rsid w:val="007F38BE"/>
    <w:rsid w:val="007F3C1A"/>
    <w:rsid w:val="007F3D2E"/>
    <w:rsid w:val="007F4590"/>
    <w:rsid w:val="007F467E"/>
    <w:rsid w:val="007F5311"/>
    <w:rsid w:val="007F5582"/>
    <w:rsid w:val="007F560A"/>
    <w:rsid w:val="007F5751"/>
    <w:rsid w:val="007F5822"/>
    <w:rsid w:val="007F59BA"/>
    <w:rsid w:val="007F5ACC"/>
    <w:rsid w:val="007F6035"/>
    <w:rsid w:val="007F6096"/>
    <w:rsid w:val="007F6482"/>
    <w:rsid w:val="007F67FB"/>
    <w:rsid w:val="007F6ADD"/>
    <w:rsid w:val="007F6DC4"/>
    <w:rsid w:val="007F6FF9"/>
    <w:rsid w:val="00800629"/>
    <w:rsid w:val="0080067A"/>
    <w:rsid w:val="00800A66"/>
    <w:rsid w:val="008011C9"/>
    <w:rsid w:val="008017D6"/>
    <w:rsid w:val="00801B33"/>
    <w:rsid w:val="008020FF"/>
    <w:rsid w:val="0080230B"/>
    <w:rsid w:val="008028F2"/>
    <w:rsid w:val="00802B9A"/>
    <w:rsid w:val="00802FA2"/>
    <w:rsid w:val="00803198"/>
    <w:rsid w:val="0080357E"/>
    <w:rsid w:val="00803AA6"/>
    <w:rsid w:val="00803D34"/>
    <w:rsid w:val="00803E90"/>
    <w:rsid w:val="0080413F"/>
    <w:rsid w:val="00804305"/>
    <w:rsid w:val="00804447"/>
    <w:rsid w:val="008046FA"/>
    <w:rsid w:val="008047F1"/>
    <w:rsid w:val="00805904"/>
    <w:rsid w:val="00805BC9"/>
    <w:rsid w:val="00805E35"/>
    <w:rsid w:val="0080612C"/>
    <w:rsid w:val="008065A4"/>
    <w:rsid w:val="0080687E"/>
    <w:rsid w:val="008069B9"/>
    <w:rsid w:val="00806C71"/>
    <w:rsid w:val="00807304"/>
    <w:rsid w:val="00807656"/>
    <w:rsid w:val="008101E6"/>
    <w:rsid w:val="00810672"/>
    <w:rsid w:val="00810D82"/>
    <w:rsid w:val="00811197"/>
    <w:rsid w:val="00811389"/>
    <w:rsid w:val="00811505"/>
    <w:rsid w:val="008119A6"/>
    <w:rsid w:val="0081277D"/>
    <w:rsid w:val="00812A48"/>
    <w:rsid w:val="00812EDF"/>
    <w:rsid w:val="00813065"/>
    <w:rsid w:val="008130F2"/>
    <w:rsid w:val="00813D67"/>
    <w:rsid w:val="00813E5B"/>
    <w:rsid w:val="00814CB5"/>
    <w:rsid w:val="00814E8C"/>
    <w:rsid w:val="00815249"/>
    <w:rsid w:val="008152CC"/>
    <w:rsid w:val="008159B1"/>
    <w:rsid w:val="00815A5C"/>
    <w:rsid w:val="00815CBF"/>
    <w:rsid w:val="00815D16"/>
    <w:rsid w:val="00816610"/>
    <w:rsid w:val="0081697D"/>
    <w:rsid w:val="00816C5B"/>
    <w:rsid w:val="008176D9"/>
    <w:rsid w:val="00817B00"/>
    <w:rsid w:val="00817DB9"/>
    <w:rsid w:val="00817E4F"/>
    <w:rsid w:val="00817ECD"/>
    <w:rsid w:val="0082092F"/>
    <w:rsid w:val="008210C0"/>
    <w:rsid w:val="008210CA"/>
    <w:rsid w:val="00821A1E"/>
    <w:rsid w:val="00821EC1"/>
    <w:rsid w:val="008221C7"/>
    <w:rsid w:val="00822594"/>
    <w:rsid w:val="008225FE"/>
    <w:rsid w:val="0082279E"/>
    <w:rsid w:val="0082288F"/>
    <w:rsid w:val="008228B1"/>
    <w:rsid w:val="00822A9F"/>
    <w:rsid w:val="00822B88"/>
    <w:rsid w:val="00822C1A"/>
    <w:rsid w:val="00823C7C"/>
    <w:rsid w:val="00823EC2"/>
    <w:rsid w:val="0082402B"/>
    <w:rsid w:val="0082423A"/>
    <w:rsid w:val="008243F0"/>
    <w:rsid w:val="008248AA"/>
    <w:rsid w:val="00825BB2"/>
    <w:rsid w:val="00825C9C"/>
    <w:rsid w:val="00825CAE"/>
    <w:rsid w:val="008265E4"/>
    <w:rsid w:val="00826AAA"/>
    <w:rsid w:val="00826C52"/>
    <w:rsid w:val="00827129"/>
    <w:rsid w:val="00827420"/>
    <w:rsid w:val="00827514"/>
    <w:rsid w:val="008278F8"/>
    <w:rsid w:val="00827A6D"/>
    <w:rsid w:val="00830314"/>
    <w:rsid w:val="008303AD"/>
    <w:rsid w:val="008303DD"/>
    <w:rsid w:val="008307DB"/>
    <w:rsid w:val="00830F8F"/>
    <w:rsid w:val="00830FC0"/>
    <w:rsid w:val="00831AFC"/>
    <w:rsid w:val="00831C37"/>
    <w:rsid w:val="0083204E"/>
    <w:rsid w:val="00832571"/>
    <w:rsid w:val="00832AAE"/>
    <w:rsid w:val="00832AFC"/>
    <w:rsid w:val="0083317B"/>
    <w:rsid w:val="008333CD"/>
    <w:rsid w:val="008334F4"/>
    <w:rsid w:val="00833F4A"/>
    <w:rsid w:val="00834C66"/>
    <w:rsid w:val="00834D8B"/>
    <w:rsid w:val="00834EB9"/>
    <w:rsid w:val="008350E8"/>
    <w:rsid w:val="00835176"/>
    <w:rsid w:val="00835998"/>
    <w:rsid w:val="008359F8"/>
    <w:rsid w:val="00835B3B"/>
    <w:rsid w:val="00835C7F"/>
    <w:rsid w:val="00835E8A"/>
    <w:rsid w:val="00835EFF"/>
    <w:rsid w:val="00835F98"/>
    <w:rsid w:val="0083696C"/>
    <w:rsid w:val="00836F18"/>
    <w:rsid w:val="00836F7E"/>
    <w:rsid w:val="008379B0"/>
    <w:rsid w:val="00837B42"/>
    <w:rsid w:val="00837E49"/>
    <w:rsid w:val="00840006"/>
    <w:rsid w:val="0084089B"/>
    <w:rsid w:val="00840F17"/>
    <w:rsid w:val="00840FFB"/>
    <w:rsid w:val="00841DC6"/>
    <w:rsid w:val="00841E7F"/>
    <w:rsid w:val="0084234C"/>
    <w:rsid w:val="00842A70"/>
    <w:rsid w:val="00842BA2"/>
    <w:rsid w:val="00842C0D"/>
    <w:rsid w:val="00843176"/>
    <w:rsid w:val="00843B57"/>
    <w:rsid w:val="00843BD7"/>
    <w:rsid w:val="00843DE4"/>
    <w:rsid w:val="00843EF2"/>
    <w:rsid w:val="008443EB"/>
    <w:rsid w:val="00844B11"/>
    <w:rsid w:val="00844CF9"/>
    <w:rsid w:val="00844F5C"/>
    <w:rsid w:val="00845478"/>
    <w:rsid w:val="008454BE"/>
    <w:rsid w:val="008469AB"/>
    <w:rsid w:val="00846CBD"/>
    <w:rsid w:val="008471BD"/>
    <w:rsid w:val="008474FB"/>
    <w:rsid w:val="00847629"/>
    <w:rsid w:val="00847832"/>
    <w:rsid w:val="008478A3"/>
    <w:rsid w:val="008478CA"/>
    <w:rsid w:val="00847A7B"/>
    <w:rsid w:val="00850265"/>
    <w:rsid w:val="00850426"/>
    <w:rsid w:val="00850723"/>
    <w:rsid w:val="00850881"/>
    <w:rsid w:val="00850D2C"/>
    <w:rsid w:val="00851257"/>
    <w:rsid w:val="008515C0"/>
    <w:rsid w:val="008516C1"/>
    <w:rsid w:val="00851BFE"/>
    <w:rsid w:val="00851DA9"/>
    <w:rsid w:val="0085210C"/>
    <w:rsid w:val="0085228C"/>
    <w:rsid w:val="008522B3"/>
    <w:rsid w:val="00852B07"/>
    <w:rsid w:val="00852D18"/>
    <w:rsid w:val="0085303A"/>
    <w:rsid w:val="0085392D"/>
    <w:rsid w:val="008546A6"/>
    <w:rsid w:val="00854976"/>
    <w:rsid w:val="00854ECD"/>
    <w:rsid w:val="00855327"/>
    <w:rsid w:val="00855AF9"/>
    <w:rsid w:val="00856172"/>
    <w:rsid w:val="008566B7"/>
    <w:rsid w:val="008567EA"/>
    <w:rsid w:val="008569FF"/>
    <w:rsid w:val="00856E55"/>
    <w:rsid w:val="00856EA0"/>
    <w:rsid w:val="008576BB"/>
    <w:rsid w:val="008577E5"/>
    <w:rsid w:val="00857E15"/>
    <w:rsid w:val="00860351"/>
    <w:rsid w:val="008604E6"/>
    <w:rsid w:val="008606A1"/>
    <w:rsid w:val="008606BC"/>
    <w:rsid w:val="00860D7D"/>
    <w:rsid w:val="00861058"/>
    <w:rsid w:val="00861897"/>
    <w:rsid w:val="00862412"/>
    <w:rsid w:val="0086265B"/>
    <w:rsid w:val="00862AF2"/>
    <w:rsid w:val="00862D2A"/>
    <w:rsid w:val="0086342C"/>
    <w:rsid w:val="008635BE"/>
    <w:rsid w:val="00863E10"/>
    <w:rsid w:val="008644AF"/>
    <w:rsid w:val="00864A0A"/>
    <w:rsid w:val="00864D35"/>
    <w:rsid w:val="00864DCA"/>
    <w:rsid w:val="00864EE1"/>
    <w:rsid w:val="00864F3A"/>
    <w:rsid w:val="008654AF"/>
    <w:rsid w:val="00865B27"/>
    <w:rsid w:val="00865E1C"/>
    <w:rsid w:val="008664F2"/>
    <w:rsid w:val="00866B72"/>
    <w:rsid w:val="008673CB"/>
    <w:rsid w:val="008673DD"/>
    <w:rsid w:val="008674B4"/>
    <w:rsid w:val="008675A6"/>
    <w:rsid w:val="008678D2"/>
    <w:rsid w:val="008679D2"/>
    <w:rsid w:val="00867A2A"/>
    <w:rsid w:val="0087045A"/>
    <w:rsid w:val="00870851"/>
    <w:rsid w:val="00870868"/>
    <w:rsid w:val="0087086E"/>
    <w:rsid w:val="008712EE"/>
    <w:rsid w:val="008713A5"/>
    <w:rsid w:val="0087173E"/>
    <w:rsid w:val="008718DE"/>
    <w:rsid w:val="00871AEB"/>
    <w:rsid w:val="00871B35"/>
    <w:rsid w:val="00871C03"/>
    <w:rsid w:val="008727F2"/>
    <w:rsid w:val="008729A0"/>
    <w:rsid w:val="00872A83"/>
    <w:rsid w:val="00872DE7"/>
    <w:rsid w:val="00873FD7"/>
    <w:rsid w:val="00874403"/>
    <w:rsid w:val="0087459F"/>
    <w:rsid w:val="00874657"/>
    <w:rsid w:val="00874BD8"/>
    <w:rsid w:val="00874C78"/>
    <w:rsid w:val="00874D11"/>
    <w:rsid w:val="00874D8D"/>
    <w:rsid w:val="00874E74"/>
    <w:rsid w:val="00875140"/>
    <w:rsid w:val="008751D9"/>
    <w:rsid w:val="008754D0"/>
    <w:rsid w:val="008757E7"/>
    <w:rsid w:val="00876670"/>
    <w:rsid w:val="00876CAE"/>
    <w:rsid w:val="0087713F"/>
    <w:rsid w:val="00877960"/>
    <w:rsid w:val="00877C27"/>
    <w:rsid w:val="00880409"/>
    <w:rsid w:val="0088079C"/>
    <w:rsid w:val="00880F34"/>
    <w:rsid w:val="0088126B"/>
    <w:rsid w:val="00881555"/>
    <w:rsid w:val="008815F8"/>
    <w:rsid w:val="00881825"/>
    <w:rsid w:val="00881BF1"/>
    <w:rsid w:val="00881CA7"/>
    <w:rsid w:val="00881CF3"/>
    <w:rsid w:val="00881E1F"/>
    <w:rsid w:val="00882DF1"/>
    <w:rsid w:val="0088344F"/>
    <w:rsid w:val="008838F0"/>
    <w:rsid w:val="00883ADF"/>
    <w:rsid w:val="00883AEE"/>
    <w:rsid w:val="00883B0C"/>
    <w:rsid w:val="008840E8"/>
    <w:rsid w:val="0088459C"/>
    <w:rsid w:val="00885163"/>
    <w:rsid w:val="00885293"/>
    <w:rsid w:val="00885415"/>
    <w:rsid w:val="0088546C"/>
    <w:rsid w:val="00885B5F"/>
    <w:rsid w:val="00885D2A"/>
    <w:rsid w:val="00885E27"/>
    <w:rsid w:val="00885F71"/>
    <w:rsid w:val="00886C8F"/>
    <w:rsid w:val="0088727C"/>
    <w:rsid w:val="008872EB"/>
    <w:rsid w:val="00887A6F"/>
    <w:rsid w:val="00887F43"/>
    <w:rsid w:val="008903AD"/>
    <w:rsid w:val="008905F0"/>
    <w:rsid w:val="0089116F"/>
    <w:rsid w:val="008913A7"/>
    <w:rsid w:val="00891650"/>
    <w:rsid w:val="00891B45"/>
    <w:rsid w:val="008923EE"/>
    <w:rsid w:val="00892910"/>
    <w:rsid w:val="00892C82"/>
    <w:rsid w:val="00892D07"/>
    <w:rsid w:val="00892E25"/>
    <w:rsid w:val="00893929"/>
    <w:rsid w:val="00893CE9"/>
    <w:rsid w:val="00893E2E"/>
    <w:rsid w:val="00893F3E"/>
    <w:rsid w:val="00893FFA"/>
    <w:rsid w:val="00894BD3"/>
    <w:rsid w:val="00895AD7"/>
    <w:rsid w:val="00896030"/>
    <w:rsid w:val="008969D8"/>
    <w:rsid w:val="008973DA"/>
    <w:rsid w:val="00897B0F"/>
    <w:rsid w:val="008A0792"/>
    <w:rsid w:val="008A0BC2"/>
    <w:rsid w:val="008A0FC9"/>
    <w:rsid w:val="008A116C"/>
    <w:rsid w:val="008A1ACA"/>
    <w:rsid w:val="008A1B70"/>
    <w:rsid w:val="008A2060"/>
    <w:rsid w:val="008A363B"/>
    <w:rsid w:val="008A3754"/>
    <w:rsid w:val="008A3787"/>
    <w:rsid w:val="008A3A47"/>
    <w:rsid w:val="008A4B39"/>
    <w:rsid w:val="008A5437"/>
    <w:rsid w:val="008A56F7"/>
    <w:rsid w:val="008A65AC"/>
    <w:rsid w:val="008A66CA"/>
    <w:rsid w:val="008A6936"/>
    <w:rsid w:val="008A6E10"/>
    <w:rsid w:val="008A71C6"/>
    <w:rsid w:val="008A7C0F"/>
    <w:rsid w:val="008A7C2D"/>
    <w:rsid w:val="008A7C8B"/>
    <w:rsid w:val="008A7E9E"/>
    <w:rsid w:val="008B05CA"/>
    <w:rsid w:val="008B0901"/>
    <w:rsid w:val="008B0B89"/>
    <w:rsid w:val="008B0EAD"/>
    <w:rsid w:val="008B1912"/>
    <w:rsid w:val="008B1DDE"/>
    <w:rsid w:val="008B21F6"/>
    <w:rsid w:val="008B23D4"/>
    <w:rsid w:val="008B242B"/>
    <w:rsid w:val="008B2857"/>
    <w:rsid w:val="008B2D3C"/>
    <w:rsid w:val="008B2F05"/>
    <w:rsid w:val="008B33E8"/>
    <w:rsid w:val="008B34E6"/>
    <w:rsid w:val="008B372F"/>
    <w:rsid w:val="008B3CA3"/>
    <w:rsid w:val="008B43C1"/>
    <w:rsid w:val="008B4890"/>
    <w:rsid w:val="008B4B3B"/>
    <w:rsid w:val="008B4C24"/>
    <w:rsid w:val="008B5CB7"/>
    <w:rsid w:val="008B643D"/>
    <w:rsid w:val="008B693D"/>
    <w:rsid w:val="008B70ED"/>
    <w:rsid w:val="008B78AA"/>
    <w:rsid w:val="008C04E2"/>
    <w:rsid w:val="008C0809"/>
    <w:rsid w:val="008C1958"/>
    <w:rsid w:val="008C19AC"/>
    <w:rsid w:val="008C1C34"/>
    <w:rsid w:val="008C1D02"/>
    <w:rsid w:val="008C1EFB"/>
    <w:rsid w:val="008C1FFF"/>
    <w:rsid w:val="008C299C"/>
    <w:rsid w:val="008C314A"/>
    <w:rsid w:val="008C3177"/>
    <w:rsid w:val="008C319F"/>
    <w:rsid w:val="008C3895"/>
    <w:rsid w:val="008C497E"/>
    <w:rsid w:val="008C4E1D"/>
    <w:rsid w:val="008C5AA2"/>
    <w:rsid w:val="008C5BF7"/>
    <w:rsid w:val="008C612A"/>
    <w:rsid w:val="008C6169"/>
    <w:rsid w:val="008C61C9"/>
    <w:rsid w:val="008C643D"/>
    <w:rsid w:val="008C6458"/>
    <w:rsid w:val="008C67C2"/>
    <w:rsid w:val="008C681B"/>
    <w:rsid w:val="008C69BC"/>
    <w:rsid w:val="008C6C8D"/>
    <w:rsid w:val="008C7E90"/>
    <w:rsid w:val="008D008E"/>
    <w:rsid w:val="008D0B22"/>
    <w:rsid w:val="008D1751"/>
    <w:rsid w:val="008D1F3A"/>
    <w:rsid w:val="008D243A"/>
    <w:rsid w:val="008D2CFE"/>
    <w:rsid w:val="008D3296"/>
    <w:rsid w:val="008D3554"/>
    <w:rsid w:val="008D3CF6"/>
    <w:rsid w:val="008D3D0C"/>
    <w:rsid w:val="008D4499"/>
    <w:rsid w:val="008D4775"/>
    <w:rsid w:val="008D4976"/>
    <w:rsid w:val="008D5511"/>
    <w:rsid w:val="008D5ADD"/>
    <w:rsid w:val="008D6116"/>
    <w:rsid w:val="008D68CA"/>
    <w:rsid w:val="008D69C3"/>
    <w:rsid w:val="008D6A5A"/>
    <w:rsid w:val="008D707B"/>
    <w:rsid w:val="008D72F1"/>
    <w:rsid w:val="008D7729"/>
    <w:rsid w:val="008D78A0"/>
    <w:rsid w:val="008D7F71"/>
    <w:rsid w:val="008E0ABB"/>
    <w:rsid w:val="008E0CF1"/>
    <w:rsid w:val="008E0F4A"/>
    <w:rsid w:val="008E1007"/>
    <w:rsid w:val="008E10A8"/>
    <w:rsid w:val="008E12FC"/>
    <w:rsid w:val="008E1448"/>
    <w:rsid w:val="008E1814"/>
    <w:rsid w:val="008E18E7"/>
    <w:rsid w:val="008E1993"/>
    <w:rsid w:val="008E1C19"/>
    <w:rsid w:val="008E1DC4"/>
    <w:rsid w:val="008E223A"/>
    <w:rsid w:val="008E22CE"/>
    <w:rsid w:val="008E2BBE"/>
    <w:rsid w:val="008E3343"/>
    <w:rsid w:val="008E33BB"/>
    <w:rsid w:val="008E3586"/>
    <w:rsid w:val="008E3649"/>
    <w:rsid w:val="008E3867"/>
    <w:rsid w:val="008E3C06"/>
    <w:rsid w:val="008E508B"/>
    <w:rsid w:val="008E7403"/>
    <w:rsid w:val="008E7C8A"/>
    <w:rsid w:val="008F07C9"/>
    <w:rsid w:val="008F0B2C"/>
    <w:rsid w:val="008F0B38"/>
    <w:rsid w:val="008F0B90"/>
    <w:rsid w:val="008F11B5"/>
    <w:rsid w:val="008F15CE"/>
    <w:rsid w:val="008F180C"/>
    <w:rsid w:val="008F1A99"/>
    <w:rsid w:val="008F1ADF"/>
    <w:rsid w:val="008F218D"/>
    <w:rsid w:val="008F2208"/>
    <w:rsid w:val="008F24D3"/>
    <w:rsid w:val="008F259E"/>
    <w:rsid w:val="008F273E"/>
    <w:rsid w:val="008F2775"/>
    <w:rsid w:val="008F2904"/>
    <w:rsid w:val="008F2BB8"/>
    <w:rsid w:val="008F2BDD"/>
    <w:rsid w:val="008F2C55"/>
    <w:rsid w:val="008F2E58"/>
    <w:rsid w:val="008F31CB"/>
    <w:rsid w:val="008F3269"/>
    <w:rsid w:val="008F32DF"/>
    <w:rsid w:val="008F3E19"/>
    <w:rsid w:val="008F412B"/>
    <w:rsid w:val="008F4673"/>
    <w:rsid w:val="008F4A82"/>
    <w:rsid w:val="008F5E71"/>
    <w:rsid w:val="008F5F23"/>
    <w:rsid w:val="008F625B"/>
    <w:rsid w:val="008F6337"/>
    <w:rsid w:val="008F6407"/>
    <w:rsid w:val="008F6705"/>
    <w:rsid w:val="008F6896"/>
    <w:rsid w:val="008F6B60"/>
    <w:rsid w:val="008F6E0F"/>
    <w:rsid w:val="008F72F9"/>
    <w:rsid w:val="008F7736"/>
    <w:rsid w:val="008F7A1B"/>
    <w:rsid w:val="009007CB"/>
    <w:rsid w:val="00900AA5"/>
    <w:rsid w:val="00900B31"/>
    <w:rsid w:val="00900B9E"/>
    <w:rsid w:val="00900CBC"/>
    <w:rsid w:val="00900D34"/>
    <w:rsid w:val="0090117E"/>
    <w:rsid w:val="00901926"/>
    <w:rsid w:val="009019E8"/>
    <w:rsid w:val="00901E2C"/>
    <w:rsid w:val="009024C6"/>
    <w:rsid w:val="00902B19"/>
    <w:rsid w:val="00903A8F"/>
    <w:rsid w:val="0090418B"/>
    <w:rsid w:val="009049D6"/>
    <w:rsid w:val="00904A77"/>
    <w:rsid w:val="00905682"/>
    <w:rsid w:val="00905AA4"/>
    <w:rsid w:val="00905C72"/>
    <w:rsid w:val="00905F98"/>
    <w:rsid w:val="00906208"/>
    <w:rsid w:val="00906AAF"/>
    <w:rsid w:val="00906E2F"/>
    <w:rsid w:val="009071C9"/>
    <w:rsid w:val="00907560"/>
    <w:rsid w:val="0090785C"/>
    <w:rsid w:val="00907DDC"/>
    <w:rsid w:val="00907FC1"/>
    <w:rsid w:val="00910274"/>
    <w:rsid w:val="009102FD"/>
    <w:rsid w:val="00910638"/>
    <w:rsid w:val="00910837"/>
    <w:rsid w:val="0091096A"/>
    <w:rsid w:val="00910D4C"/>
    <w:rsid w:val="00911C03"/>
    <w:rsid w:val="00911C40"/>
    <w:rsid w:val="009127D8"/>
    <w:rsid w:val="00912A14"/>
    <w:rsid w:val="0091360A"/>
    <w:rsid w:val="00913781"/>
    <w:rsid w:val="00913CCF"/>
    <w:rsid w:val="00914CE2"/>
    <w:rsid w:val="0091726D"/>
    <w:rsid w:val="009173EF"/>
    <w:rsid w:val="00917C4C"/>
    <w:rsid w:val="00917F70"/>
    <w:rsid w:val="00920576"/>
    <w:rsid w:val="00920711"/>
    <w:rsid w:val="00920992"/>
    <w:rsid w:val="00920A59"/>
    <w:rsid w:val="00921AA1"/>
    <w:rsid w:val="00921AEE"/>
    <w:rsid w:val="00921DB6"/>
    <w:rsid w:val="009220EE"/>
    <w:rsid w:val="009224C6"/>
    <w:rsid w:val="00922B71"/>
    <w:rsid w:val="00923049"/>
    <w:rsid w:val="0092315E"/>
    <w:rsid w:val="00923364"/>
    <w:rsid w:val="009233B0"/>
    <w:rsid w:val="00923C45"/>
    <w:rsid w:val="00923FCB"/>
    <w:rsid w:val="00924111"/>
    <w:rsid w:val="00924664"/>
    <w:rsid w:val="009246B8"/>
    <w:rsid w:val="00924C08"/>
    <w:rsid w:val="00924CEB"/>
    <w:rsid w:val="00925128"/>
    <w:rsid w:val="00925219"/>
    <w:rsid w:val="00925244"/>
    <w:rsid w:val="00925C39"/>
    <w:rsid w:val="00925DF3"/>
    <w:rsid w:val="00926413"/>
    <w:rsid w:val="00926932"/>
    <w:rsid w:val="00926DE3"/>
    <w:rsid w:val="0092706A"/>
    <w:rsid w:val="0092708B"/>
    <w:rsid w:val="00927AFF"/>
    <w:rsid w:val="00927B73"/>
    <w:rsid w:val="009300F6"/>
    <w:rsid w:val="00930499"/>
    <w:rsid w:val="00930883"/>
    <w:rsid w:val="009309BE"/>
    <w:rsid w:val="00930B90"/>
    <w:rsid w:val="0093177C"/>
    <w:rsid w:val="009318BD"/>
    <w:rsid w:val="00931D08"/>
    <w:rsid w:val="00931E73"/>
    <w:rsid w:val="00931EB2"/>
    <w:rsid w:val="00932522"/>
    <w:rsid w:val="0093258E"/>
    <w:rsid w:val="0093280F"/>
    <w:rsid w:val="009329D7"/>
    <w:rsid w:val="00932DE4"/>
    <w:rsid w:val="00932FDC"/>
    <w:rsid w:val="00933297"/>
    <w:rsid w:val="0093362F"/>
    <w:rsid w:val="00933FA9"/>
    <w:rsid w:val="009350CE"/>
    <w:rsid w:val="009350E0"/>
    <w:rsid w:val="009353D2"/>
    <w:rsid w:val="009363A6"/>
    <w:rsid w:val="0093673B"/>
    <w:rsid w:val="0093675D"/>
    <w:rsid w:val="009367B7"/>
    <w:rsid w:val="00936B1C"/>
    <w:rsid w:val="00936B88"/>
    <w:rsid w:val="00937312"/>
    <w:rsid w:val="00937E36"/>
    <w:rsid w:val="0094078F"/>
    <w:rsid w:val="009407AA"/>
    <w:rsid w:val="009410BB"/>
    <w:rsid w:val="0094115A"/>
    <w:rsid w:val="009415DD"/>
    <w:rsid w:val="0094268F"/>
    <w:rsid w:val="009428CB"/>
    <w:rsid w:val="00942CF6"/>
    <w:rsid w:val="00943012"/>
    <w:rsid w:val="009432D3"/>
    <w:rsid w:val="009434BE"/>
    <w:rsid w:val="00943A38"/>
    <w:rsid w:val="00943D92"/>
    <w:rsid w:val="009440E5"/>
    <w:rsid w:val="00944F98"/>
    <w:rsid w:val="00945290"/>
    <w:rsid w:val="009453D6"/>
    <w:rsid w:val="00945E5C"/>
    <w:rsid w:val="00946B41"/>
    <w:rsid w:val="009475B9"/>
    <w:rsid w:val="00947A73"/>
    <w:rsid w:val="00947AB1"/>
    <w:rsid w:val="00947BAF"/>
    <w:rsid w:val="00947CB6"/>
    <w:rsid w:val="009504C6"/>
    <w:rsid w:val="00950585"/>
    <w:rsid w:val="009506C6"/>
    <w:rsid w:val="0095130D"/>
    <w:rsid w:val="00951A4F"/>
    <w:rsid w:val="00951F86"/>
    <w:rsid w:val="009525FE"/>
    <w:rsid w:val="009526E9"/>
    <w:rsid w:val="00952E0E"/>
    <w:rsid w:val="00952E9D"/>
    <w:rsid w:val="0095338B"/>
    <w:rsid w:val="00953670"/>
    <w:rsid w:val="0095445D"/>
    <w:rsid w:val="00954762"/>
    <w:rsid w:val="009548C9"/>
    <w:rsid w:val="00954EF3"/>
    <w:rsid w:val="009554B3"/>
    <w:rsid w:val="009558DA"/>
    <w:rsid w:val="00955A7E"/>
    <w:rsid w:val="00955AE2"/>
    <w:rsid w:val="00955B4C"/>
    <w:rsid w:val="00955FFB"/>
    <w:rsid w:val="00956092"/>
    <w:rsid w:val="00956324"/>
    <w:rsid w:val="00956341"/>
    <w:rsid w:val="009569FA"/>
    <w:rsid w:val="00956FB8"/>
    <w:rsid w:val="009570B9"/>
    <w:rsid w:val="009573C8"/>
    <w:rsid w:val="009573E8"/>
    <w:rsid w:val="009573FF"/>
    <w:rsid w:val="0095749F"/>
    <w:rsid w:val="0095778D"/>
    <w:rsid w:val="009607A9"/>
    <w:rsid w:val="009608F2"/>
    <w:rsid w:val="00960B98"/>
    <w:rsid w:val="00960F38"/>
    <w:rsid w:val="00961304"/>
    <w:rsid w:val="00961983"/>
    <w:rsid w:val="009619C2"/>
    <w:rsid w:val="00961AD9"/>
    <w:rsid w:val="00961BBC"/>
    <w:rsid w:val="00962147"/>
    <w:rsid w:val="00962150"/>
    <w:rsid w:val="0096312B"/>
    <w:rsid w:val="00963262"/>
    <w:rsid w:val="009633DF"/>
    <w:rsid w:val="00963504"/>
    <w:rsid w:val="00964E0A"/>
    <w:rsid w:val="00964EA6"/>
    <w:rsid w:val="00964FD4"/>
    <w:rsid w:val="0096519C"/>
    <w:rsid w:val="00965471"/>
    <w:rsid w:val="00965CC0"/>
    <w:rsid w:val="009667A1"/>
    <w:rsid w:val="00966DB2"/>
    <w:rsid w:val="00967573"/>
    <w:rsid w:val="00967991"/>
    <w:rsid w:val="00967BC3"/>
    <w:rsid w:val="00967DDB"/>
    <w:rsid w:val="0097040B"/>
    <w:rsid w:val="00970B17"/>
    <w:rsid w:val="00971340"/>
    <w:rsid w:val="0097152B"/>
    <w:rsid w:val="00971FF2"/>
    <w:rsid w:val="00972576"/>
    <w:rsid w:val="00972F74"/>
    <w:rsid w:val="00973585"/>
    <w:rsid w:val="009737D8"/>
    <w:rsid w:val="00973B42"/>
    <w:rsid w:val="00973CDE"/>
    <w:rsid w:val="00973CFC"/>
    <w:rsid w:val="00973EC9"/>
    <w:rsid w:val="00974E1D"/>
    <w:rsid w:val="00974E72"/>
    <w:rsid w:val="00974EAC"/>
    <w:rsid w:val="00975043"/>
    <w:rsid w:val="00975103"/>
    <w:rsid w:val="009751AE"/>
    <w:rsid w:val="00975561"/>
    <w:rsid w:val="009755F0"/>
    <w:rsid w:val="00976B8C"/>
    <w:rsid w:val="00976F4D"/>
    <w:rsid w:val="00977099"/>
    <w:rsid w:val="0097736B"/>
    <w:rsid w:val="00977A9A"/>
    <w:rsid w:val="00977F51"/>
    <w:rsid w:val="00980083"/>
    <w:rsid w:val="00980278"/>
    <w:rsid w:val="0098044D"/>
    <w:rsid w:val="009806AE"/>
    <w:rsid w:val="009807A3"/>
    <w:rsid w:val="00980D21"/>
    <w:rsid w:val="0098172E"/>
    <w:rsid w:val="009817DC"/>
    <w:rsid w:val="00981AB3"/>
    <w:rsid w:val="00981C3B"/>
    <w:rsid w:val="009820A2"/>
    <w:rsid w:val="00982105"/>
    <w:rsid w:val="00982790"/>
    <w:rsid w:val="00982C85"/>
    <w:rsid w:val="00983250"/>
    <w:rsid w:val="00983265"/>
    <w:rsid w:val="00983495"/>
    <w:rsid w:val="00983F9F"/>
    <w:rsid w:val="0098444C"/>
    <w:rsid w:val="0098452A"/>
    <w:rsid w:val="009850E5"/>
    <w:rsid w:val="00985398"/>
    <w:rsid w:val="00985404"/>
    <w:rsid w:val="0098619B"/>
    <w:rsid w:val="009864F9"/>
    <w:rsid w:val="00986AAE"/>
    <w:rsid w:val="00986D28"/>
    <w:rsid w:val="00986E79"/>
    <w:rsid w:val="009871F6"/>
    <w:rsid w:val="00987381"/>
    <w:rsid w:val="00987DDE"/>
    <w:rsid w:val="00987DEA"/>
    <w:rsid w:val="0099032A"/>
    <w:rsid w:val="009903A6"/>
    <w:rsid w:val="009905DE"/>
    <w:rsid w:val="009907BD"/>
    <w:rsid w:val="009908E6"/>
    <w:rsid w:val="00990B6B"/>
    <w:rsid w:val="00990CD7"/>
    <w:rsid w:val="00991207"/>
    <w:rsid w:val="0099157D"/>
    <w:rsid w:val="009915D6"/>
    <w:rsid w:val="0099187A"/>
    <w:rsid w:val="0099191B"/>
    <w:rsid w:val="00991C00"/>
    <w:rsid w:val="009922C8"/>
    <w:rsid w:val="0099249B"/>
    <w:rsid w:val="00992518"/>
    <w:rsid w:val="0099274B"/>
    <w:rsid w:val="0099278A"/>
    <w:rsid w:val="00992BDF"/>
    <w:rsid w:val="00993012"/>
    <w:rsid w:val="00993586"/>
    <w:rsid w:val="009937B1"/>
    <w:rsid w:val="00993A9F"/>
    <w:rsid w:val="00993CC1"/>
    <w:rsid w:val="00993EEF"/>
    <w:rsid w:val="0099434E"/>
    <w:rsid w:val="00994BFE"/>
    <w:rsid w:val="009953EC"/>
    <w:rsid w:val="009958A7"/>
    <w:rsid w:val="00995BB9"/>
    <w:rsid w:val="00996227"/>
    <w:rsid w:val="00996321"/>
    <w:rsid w:val="009964EB"/>
    <w:rsid w:val="0099654E"/>
    <w:rsid w:val="009967EC"/>
    <w:rsid w:val="0099682B"/>
    <w:rsid w:val="009972A5"/>
    <w:rsid w:val="009975F0"/>
    <w:rsid w:val="0099784B"/>
    <w:rsid w:val="00997A6D"/>
    <w:rsid w:val="009A0580"/>
    <w:rsid w:val="009A07B1"/>
    <w:rsid w:val="009A0DA8"/>
    <w:rsid w:val="009A0F7F"/>
    <w:rsid w:val="009A0F81"/>
    <w:rsid w:val="009A1519"/>
    <w:rsid w:val="009A1660"/>
    <w:rsid w:val="009A1BB7"/>
    <w:rsid w:val="009A2015"/>
    <w:rsid w:val="009A2175"/>
    <w:rsid w:val="009A2329"/>
    <w:rsid w:val="009A2A93"/>
    <w:rsid w:val="009A2FD7"/>
    <w:rsid w:val="009A30F1"/>
    <w:rsid w:val="009A33CA"/>
    <w:rsid w:val="009A340D"/>
    <w:rsid w:val="009A38A0"/>
    <w:rsid w:val="009A3AE5"/>
    <w:rsid w:val="009A3D1B"/>
    <w:rsid w:val="009A4BAE"/>
    <w:rsid w:val="009A4CEC"/>
    <w:rsid w:val="009A52FF"/>
    <w:rsid w:val="009A5825"/>
    <w:rsid w:val="009A58D3"/>
    <w:rsid w:val="009A5BC0"/>
    <w:rsid w:val="009A5DFD"/>
    <w:rsid w:val="009A61C3"/>
    <w:rsid w:val="009A6835"/>
    <w:rsid w:val="009A69B9"/>
    <w:rsid w:val="009A6AFF"/>
    <w:rsid w:val="009A6B5B"/>
    <w:rsid w:val="009A6D19"/>
    <w:rsid w:val="009A6EB5"/>
    <w:rsid w:val="009A7121"/>
    <w:rsid w:val="009A73AA"/>
    <w:rsid w:val="009A73E4"/>
    <w:rsid w:val="009A755A"/>
    <w:rsid w:val="009A789E"/>
    <w:rsid w:val="009B05BE"/>
    <w:rsid w:val="009B077D"/>
    <w:rsid w:val="009B087E"/>
    <w:rsid w:val="009B10AE"/>
    <w:rsid w:val="009B1151"/>
    <w:rsid w:val="009B153C"/>
    <w:rsid w:val="009B15F9"/>
    <w:rsid w:val="009B1D38"/>
    <w:rsid w:val="009B1D44"/>
    <w:rsid w:val="009B1F82"/>
    <w:rsid w:val="009B2D02"/>
    <w:rsid w:val="009B2EDA"/>
    <w:rsid w:val="009B3018"/>
    <w:rsid w:val="009B32D1"/>
    <w:rsid w:val="009B3835"/>
    <w:rsid w:val="009B4082"/>
    <w:rsid w:val="009B46DF"/>
    <w:rsid w:val="009B470E"/>
    <w:rsid w:val="009B4B82"/>
    <w:rsid w:val="009B53ED"/>
    <w:rsid w:val="009B58A2"/>
    <w:rsid w:val="009B5C61"/>
    <w:rsid w:val="009B5CA8"/>
    <w:rsid w:val="009B6170"/>
    <w:rsid w:val="009B64A1"/>
    <w:rsid w:val="009B66C3"/>
    <w:rsid w:val="009B6EDC"/>
    <w:rsid w:val="009B71BC"/>
    <w:rsid w:val="009B7709"/>
    <w:rsid w:val="009B79F3"/>
    <w:rsid w:val="009B7A21"/>
    <w:rsid w:val="009B7E68"/>
    <w:rsid w:val="009C0527"/>
    <w:rsid w:val="009C085C"/>
    <w:rsid w:val="009C0F3C"/>
    <w:rsid w:val="009C175D"/>
    <w:rsid w:val="009C24D5"/>
    <w:rsid w:val="009C2585"/>
    <w:rsid w:val="009C2703"/>
    <w:rsid w:val="009C2FAD"/>
    <w:rsid w:val="009C35E2"/>
    <w:rsid w:val="009C3623"/>
    <w:rsid w:val="009C3F53"/>
    <w:rsid w:val="009C41F0"/>
    <w:rsid w:val="009C4355"/>
    <w:rsid w:val="009C4E55"/>
    <w:rsid w:val="009C4FE4"/>
    <w:rsid w:val="009C4FF5"/>
    <w:rsid w:val="009C55C3"/>
    <w:rsid w:val="009C561A"/>
    <w:rsid w:val="009C5724"/>
    <w:rsid w:val="009C5EB3"/>
    <w:rsid w:val="009C6030"/>
    <w:rsid w:val="009C60B3"/>
    <w:rsid w:val="009C6A1D"/>
    <w:rsid w:val="009C6AF3"/>
    <w:rsid w:val="009C6B2E"/>
    <w:rsid w:val="009C6E56"/>
    <w:rsid w:val="009C6FA6"/>
    <w:rsid w:val="009C731A"/>
    <w:rsid w:val="009C7E98"/>
    <w:rsid w:val="009D00A6"/>
    <w:rsid w:val="009D065F"/>
    <w:rsid w:val="009D08C5"/>
    <w:rsid w:val="009D0C0A"/>
    <w:rsid w:val="009D0DB8"/>
    <w:rsid w:val="009D118D"/>
    <w:rsid w:val="009D12E3"/>
    <w:rsid w:val="009D16A1"/>
    <w:rsid w:val="009D2682"/>
    <w:rsid w:val="009D41D3"/>
    <w:rsid w:val="009D52A1"/>
    <w:rsid w:val="009D61B3"/>
    <w:rsid w:val="009D6BCC"/>
    <w:rsid w:val="009D6C79"/>
    <w:rsid w:val="009D6D6F"/>
    <w:rsid w:val="009D76A8"/>
    <w:rsid w:val="009D7B2A"/>
    <w:rsid w:val="009E021D"/>
    <w:rsid w:val="009E0383"/>
    <w:rsid w:val="009E089C"/>
    <w:rsid w:val="009E0A35"/>
    <w:rsid w:val="009E122F"/>
    <w:rsid w:val="009E1443"/>
    <w:rsid w:val="009E1AE8"/>
    <w:rsid w:val="009E1CA1"/>
    <w:rsid w:val="009E1DC7"/>
    <w:rsid w:val="009E20BA"/>
    <w:rsid w:val="009E2EEF"/>
    <w:rsid w:val="009E328A"/>
    <w:rsid w:val="009E3451"/>
    <w:rsid w:val="009E34F5"/>
    <w:rsid w:val="009E383F"/>
    <w:rsid w:val="009E3ACD"/>
    <w:rsid w:val="009E4071"/>
    <w:rsid w:val="009E4397"/>
    <w:rsid w:val="009E4701"/>
    <w:rsid w:val="009E4BA3"/>
    <w:rsid w:val="009E4CDF"/>
    <w:rsid w:val="009E4E1D"/>
    <w:rsid w:val="009E51A1"/>
    <w:rsid w:val="009E571C"/>
    <w:rsid w:val="009E5C3F"/>
    <w:rsid w:val="009E5C43"/>
    <w:rsid w:val="009E5DFD"/>
    <w:rsid w:val="009E66F6"/>
    <w:rsid w:val="009E691B"/>
    <w:rsid w:val="009E6B7D"/>
    <w:rsid w:val="009E6D72"/>
    <w:rsid w:val="009E6E13"/>
    <w:rsid w:val="009E7142"/>
    <w:rsid w:val="009E71E0"/>
    <w:rsid w:val="009E74C3"/>
    <w:rsid w:val="009E7F0C"/>
    <w:rsid w:val="009E7F64"/>
    <w:rsid w:val="009F0024"/>
    <w:rsid w:val="009F0640"/>
    <w:rsid w:val="009F0827"/>
    <w:rsid w:val="009F0843"/>
    <w:rsid w:val="009F0A42"/>
    <w:rsid w:val="009F1638"/>
    <w:rsid w:val="009F21B7"/>
    <w:rsid w:val="009F21D7"/>
    <w:rsid w:val="009F2340"/>
    <w:rsid w:val="009F28E3"/>
    <w:rsid w:val="009F2A86"/>
    <w:rsid w:val="009F3082"/>
    <w:rsid w:val="009F30C7"/>
    <w:rsid w:val="009F386D"/>
    <w:rsid w:val="009F3D09"/>
    <w:rsid w:val="009F3DB6"/>
    <w:rsid w:val="009F489D"/>
    <w:rsid w:val="009F4B85"/>
    <w:rsid w:val="009F4C8A"/>
    <w:rsid w:val="009F4D66"/>
    <w:rsid w:val="009F4ED7"/>
    <w:rsid w:val="009F506F"/>
    <w:rsid w:val="009F5473"/>
    <w:rsid w:val="009F5708"/>
    <w:rsid w:val="009F57E3"/>
    <w:rsid w:val="009F5C5E"/>
    <w:rsid w:val="009F6657"/>
    <w:rsid w:val="009F6717"/>
    <w:rsid w:val="009F68D1"/>
    <w:rsid w:val="009F69A1"/>
    <w:rsid w:val="009F6F7B"/>
    <w:rsid w:val="009F776F"/>
    <w:rsid w:val="009F7823"/>
    <w:rsid w:val="009F7924"/>
    <w:rsid w:val="009F7EFD"/>
    <w:rsid w:val="00A0020B"/>
    <w:rsid w:val="00A00F12"/>
    <w:rsid w:val="00A0147F"/>
    <w:rsid w:val="00A014BE"/>
    <w:rsid w:val="00A01633"/>
    <w:rsid w:val="00A019EB"/>
    <w:rsid w:val="00A02753"/>
    <w:rsid w:val="00A02BB4"/>
    <w:rsid w:val="00A02BCA"/>
    <w:rsid w:val="00A035F6"/>
    <w:rsid w:val="00A03706"/>
    <w:rsid w:val="00A03B44"/>
    <w:rsid w:val="00A04DBE"/>
    <w:rsid w:val="00A053FC"/>
    <w:rsid w:val="00A0607B"/>
    <w:rsid w:val="00A06084"/>
    <w:rsid w:val="00A0639E"/>
    <w:rsid w:val="00A064D9"/>
    <w:rsid w:val="00A06718"/>
    <w:rsid w:val="00A06934"/>
    <w:rsid w:val="00A06E3F"/>
    <w:rsid w:val="00A07213"/>
    <w:rsid w:val="00A07B7D"/>
    <w:rsid w:val="00A07E93"/>
    <w:rsid w:val="00A10B20"/>
    <w:rsid w:val="00A10CE6"/>
    <w:rsid w:val="00A113F8"/>
    <w:rsid w:val="00A115FB"/>
    <w:rsid w:val="00A116BC"/>
    <w:rsid w:val="00A117AA"/>
    <w:rsid w:val="00A11C25"/>
    <w:rsid w:val="00A11E0C"/>
    <w:rsid w:val="00A11E0E"/>
    <w:rsid w:val="00A12511"/>
    <w:rsid w:val="00A13049"/>
    <w:rsid w:val="00A138A3"/>
    <w:rsid w:val="00A14072"/>
    <w:rsid w:val="00A14243"/>
    <w:rsid w:val="00A142F8"/>
    <w:rsid w:val="00A147E7"/>
    <w:rsid w:val="00A14CA0"/>
    <w:rsid w:val="00A14CA3"/>
    <w:rsid w:val="00A14E56"/>
    <w:rsid w:val="00A14F00"/>
    <w:rsid w:val="00A152C4"/>
    <w:rsid w:val="00A15A30"/>
    <w:rsid w:val="00A15E3B"/>
    <w:rsid w:val="00A163E3"/>
    <w:rsid w:val="00A1671C"/>
    <w:rsid w:val="00A16D5C"/>
    <w:rsid w:val="00A16E57"/>
    <w:rsid w:val="00A179B0"/>
    <w:rsid w:val="00A17A4C"/>
    <w:rsid w:val="00A17BBA"/>
    <w:rsid w:val="00A17CFC"/>
    <w:rsid w:val="00A17EA3"/>
    <w:rsid w:val="00A20064"/>
    <w:rsid w:val="00A201DB"/>
    <w:rsid w:val="00A20873"/>
    <w:rsid w:val="00A20915"/>
    <w:rsid w:val="00A21550"/>
    <w:rsid w:val="00A21665"/>
    <w:rsid w:val="00A21695"/>
    <w:rsid w:val="00A21849"/>
    <w:rsid w:val="00A21951"/>
    <w:rsid w:val="00A21B31"/>
    <w:rsid w:val="00A21B66"/>
    <w:rsid w:val="00A21B7C"/>
    <w:rsid w:val="00A21F8A"/>
    <w:rsid w:val="00A220A2"/>
    <w:rsid w:val="00A221DA"/>
    <w:rsid w:val="00A2314D"/>
    <w:rsid w:val="00A2346C"/>
    <w:rsid w:val="00A236F8"/>
    <w:rsid w:val="00A237AD"/>
    <w:rsid w:val="00A23A7C"/>
    <w:rsid w:val="00A23BA5"/>
    <w:rsid w:val="00A23C97"/>
    <w:rsid w:val="00A23FD0"/>
    <w:rsid w:val="00A2414E"/>
    <w:rsid w:val="00A2423B"/>
    <w:rsid w:val="00A24C0B"/>
    <w:rsid w:val="00A24F47"/>
    <w:rsid w:val="00A26142"/>
    <w:rsid w:val="00A264A7"/>
    <w:rsid w:val="00A2702D"/>
    <w:rsid w:val="00A27A8B"/>
    <w:rsid w:val="00A27FE6"/>
    <w:rsid w:val="00A302D2"/>
    <w:rsid w:val="00A303FA"/>
    <w:rsid w:val="00A30898"/>
    <w:rsid w:val="00A30A35"/>
    <w:rsid w:val="00A30ED3"/>
    <w:rsid w:val="00A31158"/>
    <w:rsid w:val="00A31A65"/>
    <w:rsid w:val="00A31A94"/>
    <w:rsid w:val="00A31C6A"/>
    <w:rsid w:val="00A32026"/>
    <w:rsid w:val="00A322C8"/>
    <w:rsid w:val="00A322EA"/>
    <w:rsid w:val="00A326DA"/>
    <w:rsid w:val="00A3288C"/>
    <w:rsid w:val="00A32AD7"/>
    <w:rsid w:val="00A33DEC"/>
    <w:rsid w:val="00A34788"/>
    <w:rsid w:val="00A34FC7"/>
    <w:rsid w:val="00A352FC"/>
    <w:rsid w:val="00A354B3"/>
    <w:rsid w:val="00A35DBB"/>
    <w:rsid w:val="00A35F50"/>
    <w:rsid w:val="00A3649D"/>
    <w:rsid w:val="00A36691"/>
    <w:rsid w:val="00A36726"/>
    <w:rsid w:val="00A37193"/>
    <w:rsid w:val="00A37222"/>
    <w:rsid w:val="00A37800"/>
    <w:rsid w:val="00A37BEF"/>
    <w:rsid w:val="00A37C2E"/>
    <w:rsid w:val="00A40090"/>
    <w:rsid w:val="00A400FC"/>
    <w:rsid w:val="00A408B3"/>
    <w:rsid w:val="00A40E46"/>
    <w:rsid w:val="00A4118B"/>
    <w:rsid w:val="00A41711"/>
    <w:rsid w:val="00A4195A"/>
    <w:rsid w:val="00A41A4E"/>
    <w:rsid w:val="00A41B71"/>
    <w:rsid w:val="00A42557"/>
    <w:rsid w:val="00A4261B"/>
    <w:rsid w:val="00A42CE1"/>
    <w:rsid w:val="00A4317E"/>
    <w:rsid w:val="00A432CA"/>
    <w:rsid w:val="00A4404C"/>
    <w:rsid w:val="00A4423C"/>
    <w:rsid w:val="00A442F8"/>
    <w:rsid w:val="00A44897"/>
    <w:rsid w:val="00A44EFC"/>
    <w:rsid w:val="00A4568D"/>
    <w:rsid w:val="00A4594E"/>
    <w:rsid w:val="00A45DAE"/>
    <w:rsid w:val="00A45E54"/>
    <w:rsid w:val="00A45F1B"/>
    <w:rsid w:val="00A4686D"/>
    <w:rsid w:val="00A469D8"/>
    <w:rsid w:val="00A46E73"/>
    <w:rsid w:val="00A471FB"/>
    <w:rsid w:val="00A4769D"/>
    <w:rsid w:val="00A478DB"/>
    <w:rsid w:val="00A478F0"/>
    <w:rsid w:val="00A50547"/>
    <w:rsid w:val="00A50823"/>
    <w:rsid w:val="00A50CE7"/>
    <w:rsid w:val="00A50D2C"/>
    <w:rsid w:val="00A50E9C"/>
    <w:rsid w:val="00A511E7"/>
    <w:rsid w:val="00A5136B"/>
    <w:rsid w:val="00A51A1C"/>
    <w:rsid w:val="00A51AD7"/>
    <w:rsid w:val="00A51B98"/>
    <w:rsid w:val="00A51E70"/>
    <w:rsid w:val="00A5213E"/>
    <w:rsid w:val="00A52365"/>
    <w:rsid w:val="00A52459"/>
    <w:rsid w:val="00A528D5"/>
    <w:rsid w:val="00A52CF7"/>
    <w:rsid w:val="00A52E15"/>
    <w:rsid w:val="00A53222"/>
    <w:rsid w:val="00A53357"/>
    <w:rsid w:val="00A53821"/>
    <w:rsid w:val="00A53BC4"/>
    <w:rsid w:val="00A53C66"/>
    <w:rsid w:val="00A53DA2"/>
    <w:rsid w:val="00A5457E"/>
    <w:rsid w:val="00A54947"/>
    <w:rsid w:val="00A54F45"/>
    <w:rsid w:val="00A5528A"/>
    <w:rsid w:val="00A55AFA"/>
    <w:rsid w:val="00A55D34"/>
    <w:rsid w:val="00A55F41"/>
    <w:rsid w:val="00A55FB6"/>
    <w:rsid w:val="00A577CA"/>
    <w:rsid w:val="00A6083A"/>
    <w:rsid w:val="00A609F3"/>
    <w:rsid w:val="00A60A1C"/>
    <w:rsid w:val="00A60D34"/>
    <w:rsid w:val="00A617CC"/>
    <w:rsid w:val="00A619A1"/>
    <w:rsid w:val="00A61C8C"/>
    <w:rsid w:val="00A61D18"/>
    <w:rsid w:val="00A61E53"/>
    <w:rsid w:val="00A61E86"/>
    <w:rsid w:val="00A626B8"/>
    <w:rsid w:val="00A62966"/>
    <w:rsid w:val="00A629B1"/>
    <w:rsid w:val="00A62C93"/>
    <w:rsid w:val="00A62CA2"/>
    <w:rsid w:val="00A62F71"/>
    <w:rsid w:val="00A6353F"/>
    <w:rsid w:val="00A638CE"/>
    <w:rsid w:val="00A63BB6"/>
    <w:rsid w:val="00A63F79"/>
    <w:rsid w:val="00A6439F"/>
    <w:rsid w:val="00A64915"/>
    <w:rsid w:val="00A6506B"/>
    <w:rsid w:val="00A65D3A"/>
    <w:rsid w:val="00A662A6"/>
    <w:rsid w:val="00A662E1"/>
    <w:rsid w:val="00A667B3"/>
    <w:rsid w:val="00A66B8B"/>
    <w:rsid w:val="00A66C90"/>
    <w:rsid w:val="00A66ECC"/>
    <w:rsid w:val="00A67266"/>
    <w:rsid w:val="00A67604"/>
    <w:rsid w:val="00A6765E"/>
    <w:rsid w:val="00A6769D"/>
    <w:rsid w:val="00A678B7"/>
    <w:rsid w:val="00A67C0D"/>
    <w:rsid w:val="00A67E26"/>
    <w:rsid w:val="00A705A6"/>
    <w:rsid w:val="00A70880"/>
    <w:rsid w:val="00A711EF"/>
    <w:rsid w:val="00A713B6"/>
    <w:rsid w:val="00A714D2"/>
    <w:rsid w:val="00A7162B"/>
    <w:rsid w:val="00A71741"/>
    <w:rsid w:val="00A72192"/>
    <w:rsid w:val="00A7236E"/>
    <w:rsid w:val="00A730E5"/>
    <w:rsid w:val="00A73552"/>
    <w:rsid w:val="00A740CF"/>
    <w:rsid w:val="00A74364"/>
    <w:rsid w:val="00A74701"/>
    <w:rsid w:val="00A74A4C"/>
    <w:rsid w:val="00A75530"/>
    <w:rsid w:val="00A75A71"/>
    <w:rsid w:val="00A75E47"/>
    <w:rsid w:val="00A75FDE"/>
    <w:rsid w:val="00A7603D"/>
    <w:rsid w:val="00A76774"/>
    <w:rsid w:val="00A76A11"/>
    <w:rsid w:val="00A76AC7"/>
    <w:rsid w:val="00A76AE2"/>
    <w:rsid w:val="00A770CF"/>
    <w:rsid w:val="00A773D4"/>
    <w:rsid w:val="00A773F0"/>
    <w:rsid w:val="00A776DC"/>
    <w:rsid w:val="00A7779F"/>
    <w:rsid w:val="00A77D1B"/>
    <w:rsid w:val="00A77F42"/>
    <w:rsid w:val="00A8026A"/>
    <w:rsid w:val="00A803E9"/>
    <w:rsid w:val="00A80D85"/>
    <w:rsid w:val="00A810A4"/>
    <w:rsid w:val="00A8129D"/>
    <w:rsid w:val="00A815FA"/>
    <w:rsid w:val="00A8163A"/>
    <w:rsid w:val="00A81700"/>
    <w:rsid w:val="00A81C7B"/>
    <w:rsid w:val="00A81E83"/>
    <w:rsid w:val="00A82297"/>
    <w:rsid w:val="00A82BA5"/>
    <w:rsid w:val="00A82E11"/>
    <w:rsid w:val="00A82FCF"/>
    <w:rsid w:val="00A838CA"/>
    <w:rsid w:val="00A83F2A"/>
    <w:rsid w:val="00A848C8"/>
    <w:rsid w:val="00A84953"/>
    <w:rsid w:val="00A852A2"/>
    <w:rsid w:val="00A856BD"/>
    <w:rsid w:val="00A858DA"/>
    <w:rsid w:val="00A85962"/>
    <w:rsid w:val="00A85BE7"/>
    <w:rsid w:val="00A863E4"/>
    <w:rsid w:val="00A86A34"/>
    <w:rsid w:val="00A86DE4"/>
    <w:rsid w:val="00A8723D"/>
    <w:rsid w:val="00A87C3F"/>
    <w:rsid w:val="00A87EBB"/>
    <w:rsid w:val="00A90C19"/>
    <w:rsid w:val="00A90DD5"/>
    <w:rsid w:val="00A91C09"/>
    <w:rsid w:val="00A9220F"/>
    <w:rsid w:val="00A92415"/>
    <w:rsid w:val="00A925EA"/>
    <w:rsid w:val="00A931D5"/>
    <w:rsid w:val="00A9341E"/>
    <w:rsid w:val="00A9356A"/>
    <w:rsid w:val="00A936AF"/>
    <w:rsid w:val="00A954B5"/>
    <w:rsid w:val="00A95938"/>
    <w:rsid w:val="00A95C10"/>
    <w:rsid w:val="00A962B6"/>
    <w:rsid w:val="00A96B99"/>
    <w:rsid w:val="00A96F37"/>
    <w:rsid w:val="00AA00A9"/>
    <w:rsid w:val="00AA01BB"/>
    <w:rsid w:val="00AA08C2"/>
    <w:rsid w:val="00AA188A"/>
    <w:rsid w:val="00AA1B0D"/>
    <w:rsid w:val="00AA1BCC"/>
    <w:rsid w:val="00AA2102"/>
    <w:rsid w:val="00AA2275"/>
    <w:rsid w:val="00AA37F0"/>
    <w:rsid w:val="00AA38C9"/>
    <w:rsid w:val="00AA4314"/>
    <w:rsid w:val="00AA4357"/>
    <w:rsid w:val="00AA45FE"/>
    <w:rsid w:val="00AA4977"/>
    <w:rsid w:val="00AA4B2F"/>
    <w:rsid w:val="00AA4D51"/>
    <w:rsid w:val="00AA510C"/>
    <w:rsid w:val="00AA56FA"/>
    <w:rsid w:val="00AA590E"/>
    <w:rsid w:val="00AA5A21"/>
    <w:rsid w:val="00AA5DFF"/>
    <w:rsid w:val="00AA6151"/>
    <w:rsid w:val="00AA6583"/>
    <w:rsid w:val="00AA68EC"/>
    <w:rsid w:val="00AA6D3B"/>
    <w:rsid w:val="00AA6D90"/>
    <w:rsid w:val="00AA737A"/>
    <w:rsid w:val="00AA7AE3"/>
    <w:rsid w:val="00AA7CA5"/>
    <w:rsid w:val="00AB029F"/>
    <w:rsid w:val="00AB06D8"/>
    <w:rsid w:val="00AB0E0A"/>
    <w:rsid w:val="00AB0EFF"/>
    <w:rsid w:val="00AB19DA"/>
    <w:rsid w:val="00AB1C85"/>
    <w:rsid w:val="00AB1CF0"/>
    <w:rsid w:val="00AB25CC"/>
    <w:rsid w:val="00AB2747"/>
    <w:rsid w:val="00AB3236"/>
    <w:rsid w:val="00AB347E"/>
    <w:rsid w:val="00AB392E"/>
    <w:rsid w:val="00AB3C8F"/>
    <w:rsid w:val="00AB402C"/>
    <w:rsid w:val="00AB40A8"/>
    <w:rsid w:val="00AB4212"/>
    <w:rsid w:val="00AB43CA"/>
    <w:rsid w:val="00AB453C"/>
    <w:rsid w:val="00AB47A2"/>
    <w:rsid w:val="00AB4BE9"/>
    <w:rsid w:val="00AB4FB8"/>
    <w:rsid w:val="00AB5251"/>
    <w:rsid w:val="00AB5E27"/>
    <w:rsid w:val="00AB6374"/>
    <w:rsid w:val="00AB63F2"/>
    <w:rsid w:val="00AB6852"/>
    <w:rsid w:val="00AB79E4"/>
    <w:rsid w:val="00AB7FC1"/>
    <w:rsid w:val="00AC02EB"/>
    <w:rsid w:val="00AC0CD0"/>
    <w:rsid w:val="00AC14AB"/>
    <w:rsid w:val="00AC1A1B"/>
    <w:rsid w:val="00AC1DF7"/>
    <w:rsid w:val="00AC2487"/>
    <w:rsid w:val="00AC29A2"/>
    <w:rsid w:val="00AC2FD5"/>
    <w:rsid w:val="00AC39B0"/>
    <w:rsid w:val="00AC3CA5"/>
    <w:rsid w:val="00AC402E"/>
    <w:rsid w:val="00AC4781"/>
    <w:rsid w:val="00AC478A"/>
    <w:rsid w:val="00AC493A"/>
    <w:rsid w:val="00AC4BC5"/>
    <w:rsid w:val="00AC4C7D"/>
    <w:rsid w:val="00AC5584"/>
    <w:rsid w:val="00AC5B91"/>
    <w:rsid w:val="00AC5FBD"/>
    <w:rsid w:val="00AC6A07"/>
    <w:rsid w:val="00AC6BDE"/>
    <w:rsid w:val="00AC70F4"/>
    <w:rsid w:val="00AC73E1"/>
    <w:rsid w:val="00AC78B0"/>
    <w:rsid w:val="00AD00EB"/>
    <w:rsid w:val="00AD040F"/>
    <w:rsid w:val="00AD0B0D"/>
    <w:rsid w:val="00AD1313"/>
    <w:rsid w:val="00AD1480"/>
    <w:rsid w:val="00AD1538"/>
    <w:rsid w:val="00AD197C"/>
    <w:rsid w:val="00AD1C35"/>
    <w:rsid w:val="00AD1C8F"/>
    <w:rsid w:val="00AD2563"/>
    <w:rsid w:val="00AD285C"/>
    <w:rsid w:val="00AD2FAF"/>
    <w:rsid w:val="00AD3828"/>
    <w:rsid w:val="00AD3D8D"/>
    <w:rsid w:val="00AD3FA4"/>
    <w:rsid w:val="00AD4203"/>
    <w:rsid w:val="00AD47F2"/>
    <w:rsid w:val="00AD49FA"/>
    <w:rsid w:val="00AD5033"/>
    <w:rsid w:val="00AD53E5"/>
    <w:rsid w:val="00AD5700"/>
    <w:rsid w:val="00AD5A80"/>
    <w:rsid w:val="00AD5B19"/>
    <w:rsid w:val="00AD5F41"/>
    <w:rsid w:val="00AD64EC"/>
    <w:rsid w:val="00AD66A7"/>
    <w:rsid w:val="00AD6D6C"/>
    <w:rsid w:val="00AD6DB9"/>
    <w:rsid w:val="00AD7270"/>
    <w:rsid w:val="00AD763D"/>
    <w:rsid w:val="00AD7809"/>
    <w:rsid w:val="00AD7B3D"/>
    <w:rsid w:val="00AD7EC5"/>
    <w:rsid w:val="00AD7FDD"/>
    <w:rsid w:val="00AE08B5"/>
    <w:rsid w:val="00AE0940"/>
    <w:rsid w:val="00AE0FA8"/>
    <w:rsid w:val="00AE14DE"/>
    <w:rsid w:val="00AE15A6"/>
    <w:rsid w:val="00AE1753"/>
    <w:rsid w:val="00AE1818"/>
    <w:rsid w:val="00AE1ED0"/>
    <w:rsid w:val="00AE202A"/>
    <w:rsid w:val="00AE205A"/>
    <w:rsid w:val="00AE2456"/>
    <w:rsid w:val="00AE2930"/>
    <w:rsid w:val="00AE2C29"/>
    <w:rsid w:val="00AE2D4D"/>
    <w:rsid w:val="00AE2F43"/>
    <w:rsid w:val="00AE3048"/>
    <w:rsid w:val="00AE31BC"/>
    <w:rsid w:val="00AE378E"/>
    <w:rsid w:val="00AE3F37"/>
    <w:rsid w:val="00AE3F5C"/>
    <w:rsid w:val="00AE4258"/>
    <w:rsid w:val="00AE42E3"/>
    <w:rsid w:val="00AE4578"/>
    <w:rsid w:val="00AE4B05"/>
    <w:rsid w:val="00AE5005"/>
    <w:rsid w:val="00AE57AF"/>
    <w:rsid w:val="00AE6B3A"/>
    <w:rsid w:val="00AE6C87"/>
    <w:rsid w:val="00AE6CA6"/>
    <w:rsid w:val="00AE7015"/>
    <w:rsid w:val="00AE71D5"/>
    <w:rsid w:val="00AE7308"/>
    <w:rsid w:val="00AE768F"/>
    <w:rsid w:val="00AE7A9E"/>
    <w:rsid w:val="00AE7AD3"/>
    <w:rsid w:val="00AE7E1F"/>
    <w:rsid w:val="00AE7F2F"/>
    <w:rsid w:val="00AF0399"/>
    <w:rsid w:val="00AF0403"/>
    <w:rsid w:val="00AF0552"/>
    <w:rsid w:val="00AF0C82"/>
    <w:rsid w:val="00AF1295"/>
    <w:rsid w:val="00AF1B56"/>
    <w:rsid w:val="00AF1E26"/>
    <w:rsid w:val="00AF21D0"/>
    <w:rsid w:val="00AF29FD"/>
    <w:rsid w:val="00AF2BBB"/>
    <w:rsid w:val="00AF305E"/>
    <w:rsid w:val="00AF3066"/>
    <w:rsid w:val="00AF31DB"/>
    <w:rsid w:val="00AF3E4B"/>
    <w:rsid w:val="00AF3E57"/>
    <w:rsid w:val="00AF43FB"/>
    <w:rsid w:val="00AF4407"/>
    <w:rsid w:val="00AF4522"/>
    <w:rsid w:val="00AF4669"/>
    <w:rsid w:val="00AF4750"/>
    <w:rsid w:val="00AF4816"/>
    <w:rsid w:val="00AF4A70"/>
    <w:rsid w:val="00AF5261"/>
    <w:rsid w:val="00AF5482"/>
    <w:rsid w:val="00AF582F"/>
    <w:rsid w:val="00AF5B19"/>
    <w:rsid w:val="00AF5C14"/>
    <w:rsid w:val="00AF6E4F"/>
    <w:rsid w:val="00AF6FB7"/>
    <w:rsid w:val="00AF70CA"/>
    <w:rsid w:val="00AF76D6"/>
    <w:rsid w:val="00AF7E4D"/>
    <w:rsid w:val="00B004D5"/>
    <w:rsid w:val="00B008E2"/>
    <w:rsid w:val="00B00AD5"/>
    <w:rsid w:val="00B00F98"/>
    <w:rsid w:val="00B0121A"/>
    <w:rsid w:val="00B0145A"/>
    <w:rsid w:val="00B01871"/>
    <w:rsid w:val="00B01AE4"/>
    <w:rsid w:val="00B01ED6"/>
    <w:rsid w:val="00B0202A"/>
    <w:rsid w:val="00B021E3"/>
    <w:rsid w:val="00B027CB"/>
    <w:rsid w:val="00B02891"/>
    <w:rsid w:val="00B02A21"/>
    <w:rsid w:val="00B02FD3"/>
    <w:rsid w:val="00B0377F"/>
    <w:rsid w:val="00B03AEE"/>
    <w:rsid w:val="00B0412C"/>
    <w:rsid w:val="00B04671"/>
    <w:rsid w:val="00B04866"/>
    <w:rsid w:val="00B04B1D"/>
    <w:rsid w:val="00B04C4C"/>
    <w:rsid w:val="00B04CD4"/>
    <w:rsid w:val="00B055C5"/>
    <w:rsid w:val="00B05821"/>
    <w:rsid w:val="00B05B3C"/>
    <w:rsid w:val="00B064B6"/>
    <w:rsid w:val="00B06E02"/>
    <w:rsid w:val="00B06F45"/>
    <w:rsid w:val="00B06F4F"/>
    <w:rsid w:val="00B07873"/>
    <w:rsid w:val="00B079EC"/>
    <w:rsid w:val="00B07D55"/>
    <w:rsid w:val="00B10135"/>
    <w:rsid w:val="00B1049A"/>
    <w:rsid w:val="00B10B14"/>
    <w:rsid w:val="00B10BC3"/>
    <w:rsid w:val="00B10C50"/>
    <w:rsid w:val="00B111F1"/>
    <w:rsid w:val="00B113B2"/>
    <w:rsid w:val="00B1163A"/>
    <w:rsid w:val="00B1194C"/>
    <w:rsid w:val="00B11A0A"/>
    <w:rsid w:val="00B11CA9"/>
    <w:rsid w:val="00B121DD"/>
    <w:rsid w:val="00B12405"/>
    <w:rsid w:val="00B126C9"/>
    <w:rsid w:val="00B12B9A"/>
    <w:rsid w:val="00B12F23"/>
    <w:rsid w:val="00B1305E"/>
    <w:rsid w:val="00B132D1"/>
    <w:rsid w:val="00B133F6"/>
    <w:rsid w:val="00B13645"/>
    <w:rsid w:val="00B13A69"/>
    <w:rsid w:val="00B14191"/>
    <w:rsid w:val="00B142C0"/>
    <w:rsid w:val="00B14493"/>
    <w:rsid w:val="00B14742"/>
    <w:rsid w:val="00B14DCE"/>
    <w:rsid w:val="00B1541A"/>
    <w:rsid w:val="00B16655"/>
    <w:rsid w:val="00B166B3"/>
    <w:rsid w:val="00B1675B"/>
    <w:rsid w:val="00B16815"/>
    <w:rsid w:val="00B16D78"/>
    <w:rsid w:val="00B175B0"/>
    <w:rsid w:val="00B17A5B"/>
    <w:rsid w:val="00B17B05"/>
    <w:rsid w:val="00B2013A"/>
    <w:rsid w:val="00B20944"/>
    <w:rsid w:val="00B20AE8"/>
    <w:rsid w:val="00B20B49"/>
    <w:rsid w:val="00B20C31"/>
    <w:rsid w:val="00B214D6"/>
    <w:rsid w:val="00B21570"/>
    <w:rsid w:val="00B21D1E"/>
    <w:rsid w:val="00B222DE"/>
    <w:rsid w:val="00B2243C"/>
    <w:rsid w:val="00B2278D"/>
    <w:rsid w:val="00B228E7"/>
    <w:rsid w:val="00B22B22"/>
    <w:rsid w:val="00B230CD"/>
    <w:rsid w:val="00B2339E"/>
    <w:rsid w:val="00B23474"/>
    <w:rsid w:val="00B23487"/>
    <w:rsid w:val="00B23893"/>
    <w:rsid w:val="00B239C0"/>
    <w:rsid w:val="00B240B3"/>
    <w:rsid w:val="00B2440C"/>
    <w:rsid w:val="00B24562"/>
    <w:rsid w:val="00B247F3"/>
    <w:rsid w:val="00B24A64"/>
    <w:rsid w:val="00B24A9C"/>
    <w:rsid w:val="00B24F0F"/>
    <w:rsid w:val="00B25062"/>
    <w:rsid w:val="00B250BA"/>
    <w:rsid w:val="00B25170"/>
    <w:rsid w:val="00B25862"/>
    <w:rsid w:val="00B261B9"/>
    <w:rsid w:val="00B262C7"/>
    <w:rsid w:val="00B262CC"/>
    <w:rsid w:val="00B266F0"/>
    <w:rsid w:val="00B26E0E"/>
    <w:rsid w:val="00B27314"/>
    <w:rsid w:val="00B27392"/>
    <w:rsid w:val="00B2781B"/>
    <w:rsid w:val="00B30241"/>
    <w:rsid w:val="00B3078B"/>
    <w:rsid w:val="00B307D1"/>
    <w:rsid w:val="00B30D94"/>
    <w:rsid w:val="00B31310"/>
    <w:rsid w:val="00B3136F"/>
    <w:rsid w:val="00B313AC"/>
    <w:rsid w:val="00B31B78"/>
    <w:rsid w:val="00B32572"/>
    <w:rsid w:val="00B32867"/>
    <w:rsid w:val="00B334FB"/>
    <w:rsid w:val="00B34306"/>
    <w:rsid w:val="00B3455E"/>
    <w:rsid w:val="00B34611"/>
    <w:rsid w:val="00B34DEC"/>
    <w:rsid w:val="00B34F06"/>
    <w:rsid w:val="00B35220"/>
    <w:rsid w:val="00B35299"/>
    <w:rsid w:val="00B3535A"/>
    <w:rsid w:val="00B3539D"/>
    <w:rsid w:val="00B353C9"/>
    <w:rsid w:val="00B353E8"/>
    <w:rsid w:val="00B358AE"/>
    <w:rsid w:val="00B3592E"/>
    <w:rsid w:val="00B36601"/>
    <w:rsid w:val="00B36A93"/>
    <w:rsid w:val="00B36E7B"/>
    <w:rsid w:val="00B372E8"/>
    <w:rsid w:val="00B37404"/>
    <w:rsid w:val="00B3740B"/>
    <w:rsid w:val="00B37447"/>
    <w:rsid w:val="00B374C5"/>
    <w:rsid w:val="00B3751F"/>
    <w:rsid w:val="00B3777B"/>
    <w:rsid w:val="00B378DE"/>
    <w:rsid w:val="00B402C6"/>
    <w:rsid w:val="00B40712"/>
    <w:rsid w:val="00B40B79"/>
    <w:rsid w:val="00B40E72"/>
    <w:rsid w:val="00B411A0"/>
    <w:rsid w:val="00B411BD"/>
    <w:rsid w:val="00B41C00"/>
    <w:rsid w:val="00B42E7E"/>
    <w:rsid w:val="00B42EF5"/>
    <w:rsid w:val="00B438F4"/>
    <w:rsid w:val="00B443B8"/>
    <w:rsid w:val="00B443C0"/>
    <w:rsid w:val="00B44899"/>
    <w:rsid w:val="00B449ED"/>
    <w:rsid w:val="00B44F5C"/>
    <w:rsid w:val="00B45ED1"/>
    <w:rsid w:val="00B4651C"/>
    <w:rsid w:val="00B46A04"/>
    <w:rsid w:val="00B46C42"/>
    <w:rsid w:val="00B46C65"/>
    <w:rsid w:val="00B46CB3"/>
    <w:rsid w:val="00B5043A"/>
    <w:rsid w:val="00B504F8"/>
    <w:rsid w:val="00B506CD"/>
    <w:rsid w:val="00B50E3F"/>
    <w:rsid w:val="00B51396"/>
    <w:rsid w:val="00B51889"/>
    <w:rsid w:val="00B52454"/>
    <w:rsid w:val="00B52A13"/>
    <w:rsid w:val="00B52FAB"/>
    <w:rsid w:val="00B532AF"/>
    <w:rsid w:val="00B5398E"/>
    <w:rsid w:val="00B53F4B"/>
    <w:rsid w:val="00B543B5"/>
    <w:rsid w:val="00B54B55"/>
    <w:rsid w:val="00B54E28"/>
    <w:rsid w:val="00B54E82"/>
    <w:rsid w:val="00B54EA7"/>
    <w:rsid w:val="00B55132"/>
    <w:rsid w:val="00B555D4"/>
    <w:rsid w:val="00B55678"/>
    <w:rsid w:val="00B55B27"/>
    <w:rsid w:val="00B55B8F"/>
    <w:rsid w:val="00B55F66"/>
    <w:rsid w:val="00B56299"/>
    <w:rsid w:val="00B5711E"/>
    <w:rsid w:val="00B574AA"/>
    <w:rsid w:val="00B57831"/>
    <w:rsid w:val="00B57932"/>
    <w:rsid w:val="00B579DF"/>
    <w:rsid w:val="00B57CC8"/>
    <w:rsid w:val="00B57D66"/>
    <w:rsid w:val="00B608D3"/>
    <w:rsid w:val="00B616F4"/>
    <w:rsid w:val="00B617CE"/>
    <w:rsid w:val="00B61C69"/>
    <w:rsid w:val="00B61F70"/>
    <w:rsid w:val="00B623FF"/>
    <w:rsid w:val="00B624E0"/>
    <w:rsid w:val="00B62929"/>
    <w:rsid w:val="00B62F2B"/>
    <w:rsid w:val="00B6311A"/>
    <w:rsid w:val="00B63B14"/>
    <w:rsid w:val="00B63BA0"/>
    <w:rsid w:val="00B63C52"/>
    <w:rsid w:val="00B63D64"/>
    <w:rsid w:val="00B63EEF"/>
    <w:rsid w:val="00B64615"/>
    <w:rsid w:val="00B64CC5"/>
    <w:rsid w:val="00B652A1"/>
    <w:rsid w:val="00B65A25"/>
    <w:rsid w:val="00B65DAA"/>
    <w:rsid w:val="00B668F0"/>
    <w:rsid w:val="00B669CA"/>
    <w:rsid w:val="00B66BD5"/>
    <w:rsid w:val="00B66C33"/>
    <w:rsid w:val="00B67049"/>
    <w:rsid w:val="00B67D2A"/>
    <w:rsid w:val="00B705F9"/>
    <w:rsid w:val="00B70728"/>
    <w:rsid w:val="00B708C4"/>
    <w:rsid w:val="00B70C02"/>
    <w:rsid w:val="00B71351"/>
    <w:rsid w:val="00B71554"/>
    <w:rsid w:val="00B7160B"/>
    <w:rsid w:val="00B72459"/>
    <w:rsid w:val="00B72FD1"/>
    <w:rsid w:val="00B73D8B"/>
    <w:rsid w:val="00B73F25"/>
    <w:rsid w:val="00B73F70"/>
    <w:rsid w:val="00B7401B"/>
    <w:rsid w:val="00B74107"/>
    <w:rsid w:val="00B74461"/>
    <w:rsid w:val="00B74B10"/>
    <w:rsid w:val="00B75326"/>
    <w:rsid w:val="00B75422"/>
    <w:rsid w:val="00B75428"/>
    <w:rsid w:val="00B75FB4"/>
    <w:rsid w:val="00B763BF"/>
    <w:rsid w:val="00B76AE8"/>
    <w:rsid w:val="00B77E7B"/>
    <w:rsid w:val="00B802BD"/>
    <w:rsid w:val="00B802D3"/>
    <w:rsid w:val="00B804FB"/>
    <w:rsid w:val="00B806D3"/>
    <w:rsid w:val="00B807A7"/>
    <w:rsid w:val="00B807CD"/>
    <w:rsid w:val="00B80866"/>
    <w:rsid w:val="00B81C11"/>
    <w:rsid w:val="00B81ED6"/>
    <w:rsid w:val="00B81FA9"/>
    <w:rsid w:val="00B82381"/>
    <w:rsid w:val="00B82744"/>
    <w:rsid w:val="00B827CC"/>
    <w:rsid w:val="00B8286F"/>
    <w:rsid w:val="00B82C76"/>
    <w:rsid w:val="00B8323A"/>
    <w:rsid w:val="00B845F4"/>
    <w:rsid w:val="00B84629"/>
    <w:rsid w:val="00B846CA"/>
    <w:rsid w:val="00B84BA4"/>
    <w:rsid w:val="00B84FB8"/>
    <w:rsid w:val="00B8561C"/>
    <w:rsid w:val="00B85638"/>
    <w:rsid w:val="00B856B5"/>
    <w:rsid w:val="00B85AC6"/>
    <w:rsid w:val="00B85BF6"/>
    <w:rsid w:val="00B86224"/>
    <w:rsid w:val="00B86704"/>
    <w:rsid w:val="00B86A6F"/>
    <w:rsid w:val="00B86F3B"/>
    <w:rsid w:val="00B9035E"/>
    <w:rsid w:val="00B903E6"/>
    <w:rsid w:val="00B90776"/>
    <w:rsid w:val="00B909BB"/>
    <w:rsid w:val="00B90AAF"/>
    <w:rsid w:val="00B90DBF"/>
    <w:rsid w:val="00B90DCA"/>
    <w:rsid w:val="00B910A6"/>
    <w:rsid w:val="00B9115F"/>
    <w:rsid w:val="00B91197"/>
    <w:rsid w:val="00B91613"/>
    <w:rsid w:val="00B91A8B"/>
    <w:rsid w:val="00B91EB2"/>
    <w:rsid w:val="00B924FF"/>
    <w:rsid w:val="00B926C9"/>
    <w:rsid w:val="00B92AF2"/>
    <w:rsid w:val="00B92C48"/>
    <w:rsid w:val="00B92C60"/>
    <w:rsid w:val="00B92E9C"/>
    <w:rsid w:val="00B933F3"/>
    <w:rsid w:val="00B93493"/>
    <w:rsid w:val="00B93588"/>
    <w:rsid w:val="00B9359E"/>
    <w:rsid w:val="00B937AA"/>
    <w:rsid w:val="00B9380A"/>
    <w:rsid w:val="00B9392B"/>
    <w:rsid w:val="00B939CF"/>
    <w:rsid w:val="00B93C3C"/>
    <w:rsid w:val="00B93F93"/>
    <w:rsid w:val="00B94014"/>
    <w:rsid w:val="00B94115"/>
    <w:rsid w:val="00B94284"/>
    <w:rsid w:val="00B94D70"/>
    <w:rsid w:val="00B94EAE"/>
    <w:rsid w:val="00B95285"/>
    <w:rsid w:val="00B95A64"/>
    <w:rsid w:val="00B95CD2"/>
    <w:rsid w:val="00B95DC3"/>
    <w:rsid w:val="00B968F9"/>
    <w:rsid w:val="00B969C5"/>
    <w:rsid w:val="00B96A8A"/>
    <w:rsid w:val="00B96EEB"/>
    <w:rsid w:val="00B9770F"/>
    <w:rsid w:val="00B97936"/>
    <w:rsid w:val="00BA0088"/>
    <w:rsid w:val="00BA08AB"/>
    <w:rsid w:val="00BA0BEF"/>
    <w:rsid w:val="00BA0FDF"/>
    <w:rsid w:val="00BA148C"/>
    <w:rsid w:val="00BA1780"/>
    <w:rsid w:val="00BA1993"/>
    <w:rsid w:val="00BA1A02"/>
    <w:rsid w:val="00BA2B8F"/>
    <w:rsid w:val="00BA2B9C"/>
    <w:rsid w:val="00BA31CF"/>
    <w:rsid w:val="00BA3C4E"/>
    <w:rsid w:val="00BA3DB1"/>
    <w:rsid w:val="00BA3EA6"/>
    <w:rsid w:val="00BA41FB"/>
    <w:rsid w:val="00BA43D3"/>
    <w:rsid w:val="00BA4458"/>
    <w:rsid w:val="00BA48CF"/>
    <w:rsid w:val="00BA4C9E"/>
    <w:rsid w:val="00BA4D66"/>
    <w:rsid w:val="00BA526D"/>
    <w:rsid w:val="00BA590E"/>
    <w:rsid w:val="00BA611D"/>
    <w:rsid w:val="00BA6AE0"/>
    <w:rsid w:val="00BA736B"/>
    <w:rsid w:val="00BA7518"/>
    <w:rsid w:val="00BA7AD9"/>
    <w:rsid w:val="00BB0265"/>
    <w:rsid w:val="00BB02B9"/>
    <w:rsid w:val="00BB0CA6"/>
    <w:rsid w:val="00BB12CF"/>
    <w:rsid w:val="00BB1514"/>
    <w:rsid w:val="00BB17A3"/>
    <w:rsid w:val="00BB183E"/>
    <w:rsid w:val="00BB1ED6"/>
    <w:rsid w:val="00BB201F"/>
    <w:rsid w:val="00BB2158"/>
    <w:rsid w:val="00BB2608"/>
    <w:rsid w:val="00BB26BB"/>
    <w:rsid w:val="00BB2F68"/>
    <w:rsid w:val="00BB34A2"/>
    <w:rsid w:val="00BB385F"/>
    <w:rsid w:val="00BB4228"/>
    <w:rsid w:val="00BB4FC8"/>
    <w:rsid w:val="00BB5514"/>
    <w:rsid w:val="00BB5A9A"/>
    <w:rsid w:val="00BB5C21"/>
    <w:rsid w:val="00BB5F54"/>
    <w:rsid w:val="00BB610E"/>
    <w:rsid w:val="00BB65A0"/>
    <w:rsid w:val="00BB67E2"/>
    <w:rsid w:val="00BB6C98"/>
    <w:rsid w:val="00BB742D"/>
    <w:rsid w:val="00BB7BD4"/>
    <w:rsid w:val="00BC060E"/>
    <w:rsid w:val="00BC0798"/>
    <w:rsid w:val="00BC07C1"/>
    <w:rsid w:val="00BC13CA"/>
    <w:rsid w:val="00BC1773"/>
    <w:rsid w:val="00BC1AD0"/>
    <w:rsid w:val="00BC22CF"/>
    <w:rsid w:val="00BC235A"/>
    <w:rsid w:val="00BC23DC"/>
    <w:rsid w:val="00BC29CB"/>
    <w:rsid w:val="00BC2EB2"/>
    <w:rsid w:val="00BC2F0D"/>
    <w:rsid w:val="00BC31A7"/>
    <w:rsid w:val="00BC4220"/>
    <w:rsid w:val="00BC5404"/>
    <w:rsid w:val="00BC5469"/>
    <w:rsid w:val="00BC57F1"/>
    <w:rsid w:val="00BC59DE"/>
    <w:rsid w:val="00BC5DA8"/>
    <w:rsid w:val="00BC5E00"/>
    <w:rsid w:val="00BC6043"/>
    <w:rsid w:val="00BC6047"/>
    <w:rsid w:val="00BC606A"/>
    <w:rsid w:val="00BC62F2"/>
    <w:rsid w:val="00BC6321"/>
    <w:rsid w:val="00BC6974"/>
    <w:rsid w:val="00BC6A05"/>
    <w:rsid w:val="00BC70D9"/>
    <w:rsid w:val="00BC754E"/>
    <w:rsid w:val="00BC75C0"/>
    <w:rsid w:val="00BD02D3"/>
    <w:rsid w:val="00BD02EF"/>
    <w:rsid w:val="00BD0531"/>
    <w:rsid w:val="00BD07D7"/>
    <w:rsid w:val="00BD1406"/>
    <w:rsid w:val="00BD1B07"/>
    <w:rsid w:val="00BD2154"/>
    <w:rsid w:val="00BD2216"/>
    <w:rsid w:val="00BD2A70"/>
    <w:rsid w:val="00BD2CAE"/>
    <w:rsid w:val="00BD2CFF"/>
    <w:rsid w:val="00BD30D0"/>
    <w:rsid w:val="00BD3637"/>
    <w:rsid w:val="00BD443D"/>
    <w:rsid w:val="00BD4D47"/>
    <w:rsid w:val="00BD5C94"/>
    <w:rsid w:val="00BD5E61"/>
    <w:rsid w:val="00BD60EC"/>
    <w:rsid w:val="00BD6511"/>
    <w:rsid w:val="00BD70B8"/>
    <w:rsid w:val="00BD727A"/>
    <w:rsid w:val="00BD7661"/>
    <w:rsid w:val="00BD76C7"/>
    <w:rsid w:val="00BD7A96"/>
    <w:rsid w:val="00BE06FC"/>
    <w:rsid w:val="00BE0E8B"/>
    <w:rsid w:val="00BE0F84"/>
    <w:rsid w:val="00BE133D"/>
    <w:rsid w:val="00BE162A"/>
    <w:rsid w:val="00BE17DB"/>
    <w:rsid w:val="00BE1A4B"/>
    <w:rsid w:val="00BE1A7B"/>
    <w:rsid w:val="00BE1FB6"/>
    <w:rsid w:val="00BE27A7"/>
    <w:rsid w:val="00BE33C5"/>
    <w:rsid w:val="00BE36A1"/>
    <w:rsid w:val="00BE3937"/>
    <w:rsid w:val="00BE3C91"/>
    <w:rsid w:val="00BE40F5"/>
    <w:rsid w:val="00BE456A"/>
    <w:rsid w:val="00BE45C6"/>
    <w:rsid w:val="00BE4CEC"/>
    <w:rsid w:val="00BE526C"/>
    <w:rsid w:val="00BE5684"/>
    <w:rsid w:val="00BE57D5"/>
    <w:rsid w:val="00BE5A81"/>
    <w:rsid w:val="00BE60B6"/>
    <w:rsid w:val="00BE60D8"/>
    <w:rsid w:val="00BE620A"/>
    <w:rsid w:val="00BE62DD"/>
    <w:rsid w:val="00BE6C5F"/>
    <w:rsid w:val="00BE6FD7"/>
    <w:rsid w:val="00BE7263"/>
    <w:rsid w:val="00BE76C9"/>
    <w:rsid w:val="00BE7ED0"/>
    <w:rsid w:val="00BE7EF2"/>
    <w:rsid w:val="00BF0077"/>
    <w:rsid w:val="00BF01ED"/>
    <w:rsid w:val="00BF0764"/>
    <w:rsid w:val="00BF093F"/>
    <w:rsid w:val="00BF0ACF"/>
    <w:rsid w:val="00BF0C5B"/>
    <w:rsid w:val="00BF0E4F"/>
    <w:rsid w:val="00BF118C"/>
    <w:rsid w:val="00BF1C5A"/>
    <w:rsid w:val="00BF1D21"/>
    <w:rsid w:val="00BF2069"/>
    <w:rsid w:val="00BF2155"/>
    <w:rsid w:val="00BF2384"/>
    <w:rsid w:val="00BF23C0"/>
    <w:rsid w:val="00BF244E"/>
    <w:rsid w:val="00BF2696"/>
    <w:rsid w:val="00BF28E7"/>
    <w:rsid w:val="00BF28FD"/>
    <w:rsid w:val="00BF2B46"/>
    <w:rsid w:val="00BF320D"/>
    <w:rsid w:val="00BF3413"/>
    <w:rsid w:val="00BF3663"/>
    <w:rsid w:val="00BF39D0"/>
    <w:rsid w:val="00BF4DBB"/>
    <w:rsid w:val="00BF4FEA"/>
    <w:rsid w:val="00BF508E"/>
    <w:rsid w:val="00BF50D5"/>
    <w:rsid w:val="00BF5182"/>
    <w:rsid w:val="00BF5772"/>
    <w:rsid w:val="00BF58BB"/>
    <w:rsid w:val="00BF6168"/>
    <w:rsid w:val="00BF688A"/>
    <w:rsid w:val="00C00273"/>
    <w:rsid w:val="00C005DB"/>
    <w:rsid w:val="00C00773"/>
    <w:rsid w:val="00C0136C"/>
    <w:rsid w:val="00C01710"/>
    <w:rsid w:val="00C020A8"/>
    <w:rsid w:val="00C02316"/>
    <w:rsid w:val="00C02AB6"/>
    <w:rsid w:val="00C03043"/>
    <w:rsid w:val="00C03699"/>
    <w:rsid w:val="00C03AE9"/>
    <w:rsid w:val="00C04119"/>
    <w:rsid w:val="00C042EE"/>
    <w:rsid w:val="00C049A3"/>
    <w:rsid w:val="00C04E35"/>
    <w:rsid w:val="00C05190"/>
    <w:rsid w:val="00C0521B"/>
    <w:rsid w:val="00C05274"/>
    <w:rsid w:val="00C056F6"/>
    <w:rsid w:val="00C062FA"/>
    <w:rsid w:val="00C06597"/>
    <w:rsid w:val="00C06725"/>
    <w:rsid w:val="00C06CAF"/>
    <w:rsid w:val="00C07619"/>
    <w:rsid w:val="00C07696"/>
    <w:rsid w:val="00C07738"/>
    <w:rsid w:val="00C078E3"/>
    <w:rsid w:val="00C07BE2"/>
    <w:rsid w:val="00C07EAB"/>
    <w:rsid w:val="00C10A88"/>
    <w:rsid w:val="00C112E3"/>
    <w:rsid w:val="00C11968"/>
    <w:rsid w:val="00C12012"/>
    <w:rsid w:val="00C120F7"/>
    <w:rsid w:val="00C12252"/>
    <w:rsid w:val="00C1261A"/>
    <w:rsid w:val="00C12CAC"/>
    <w:rsid w:val="00C131A3"/>
    <w:rsid w:val="00C134BE"/>
    <w:rsid w:val="00C1394B"/>
    <w:rsid w:val="00C13C66"/>
    <w:rsid w:val="00C13EE7"/>
    <w:rsid w:val="00C13F1C"/>
    <w:rsid w:val="00C1445C"/>
    <w:rsid w:val="00C15027"/>
    <w:rsid w:val="00C15036"/>
    <w:rsid w:val="00C155F2"/>
    <w:rsid w:val="00C16DA1"/>
    <w:rsid w:val="00C172C5"/>
    <w:rsid w:val="00C173E2"/>
    <w:rsid w:val="00C179A8"/>
    <w:rsid w:val="00C17FA0"/>
    <w:rsid w:val="00C2091B"/>
    <w:rsid w:val="00C2098A"/>
    <w:rsid w:val="00C21712"/>
    <w:rsid w:val="00C219FD"/>
    <w:rsid w:val="00C21A52"/>
    <w:rsid w:val="00C22559"/>
    <w:rsid w:val="00C22AD6"/>
    <w:rsid w:val="00C22FB8"/>
    <w:rsid w:val="00C2306C"/>
    <w:rsid w:val="00C2311F"/>
    <w:rsid w:val="00C23C5C"/>
    <w:rsid w:val="00C23F7A"/>
    <w:rsid w:val="00C2452A"/>
    <w:rsid w:val="00C2547A"/>
    <w:rsid w:val="00C25614"/>
    <w:rsid w:val="00C256C0"/>
    <w:rsid w:val="00C256F3"/>
    <w:rsid w:val="00C2572B"/>
    <w:rsid w:val="00C25746"/>
    <w:rsid w:val="00C25C06"/>
    <w:rsid w:val="00C25C8A"/>
    <w:rsid w:val="00C25FA0"/>
    <w:rsid w:val="00C26313"/>
    <w:rsid w:val="00C2651B"/>
    <w:rsid w:val="00C270EB"/>
    <w:rsid w:val="00C27598"/>
    <w:rsid w:val="00C27B3E"/>
    <w:rsid w:val="00C27CFF"/>
    <w:rsid w:val="00C27E28"/>
    <w:rsid w:val="00C30456"/>
    <w:rsid w:val="00C305FC"/>
    <w:rsid w:val="00C3079D"/>
    <w:rsid w:val="00C30889"/>
    <w:rsid w:val="00C30BAC"/>
    <w:rsid w:val="00C30E24"/>
    <w:rsid w:val="00C30EB0"/>
    <w:rsid w:val="00C314CD"/>
    <w:rsid w:val="00C31DA6"/>
    <w:rsid w:val="00C32B59"/>
    <w:rsid w:val="00C32BA4"/>
    <w:rsid w:val="00C32C99"/>
    <w:rsid w:val="00C334AE"/>
    <w:rsid w:val="00C34509"/>
    <w:rsid w:val="00C35155"/>
    <w:rsid w:val="00C3589B"/>
    <w:rsid w:val="00C35CBE"/>
    <w:rsid w:val="00C35D0A"/>
    <w:rsid w:val="00C36790"/>
    <w:rsid w:val="00C36930"/>
    <w:rsid w:val="00C369EB"/>
    <w:rsid w:val="00C36FD1"/>
    <w:rsid w:val="00C37475"/>
    <w:rsid w:val="00C37A30"/>
    <w:rsid w:val="00C37F53"/>
    <w:rsid w:val="00C405E9"/>
    <w:rsid w:val="00C40CBB"/>
    <w:rsid w:val="00C4120A"/>
    <w:rsid w:val="00C413C1"/>
    <w:rsid w:val="00C414D1"/>
    <w:rsid w:val="00C42277"/>
    <w:rsid w:val="00C429AC"/>
    <w:rsid w:val="00C42B6B"/>
    <w:rsid w:val="00C42FA4"/>
    <w:rsid w:val="00C43174"/>
    <w:rsid w:val="00C4398C"/>
    <w:rsid w:val="00C43AD4"/>
    <w:rsid w:val="00C44335"/>
    <w:rsid w:val="00C444F7"/>
    <w:rsid w:val="00C44F6B"/>
    <w:rsid w:val="00C45199"/>
    <w:rsid w:val="00C45424"/>
    <w:rsid w:val="00C459A1"/>
    <w:rsid w:val="00C45B84"/>
    <w:rsid w:val="00C45C6E"/>
    <w:rsid w:val="00C45C8C"/>
    <w:rsid w:val="00C45DDD"/>
    <w:rsid w:val="00C45EEA"/>
    <w:rsid w:val="00C463B5"/>
    <w:rsid w:val="00C463D5"/>
    <w:rsid w:val="00C4645E"/>
    <w:rsid w:val="00C46E25"/>
    <w:rsid w:val="00C473FD"/>
    <w:rsid w:val="00C4785A"/>
    <w:rsid w:val="00C47C86"/>
    <w:rsid w:val="00C47F38"/>
    <w:rsid w:val="00C50074"/>
    <w:rsid w:val="00C50555"/>
    <w:rsid w:val="00C50617"/>
    <w:rsid w:val="00C50641"/>
    <w:rsid w:val="00C50DA5"/>
    <w:rsid w:val="00C5127E"/>
    <w:rsid w:val="00C51537"/>
    <w:rsid w:val="00C522D2"/>
    <w:rsid w:val="00C52530"/>
    <w:rsid w:val="00C53149"/>
    <w:rsid w:val="00C531C0"/>
    <w:rsid w:val="00C53AFE"/>
    <w:rsid w:val="00C54084"/>
    <w:rsid w:val="00C55535"/>
    <w:rsid w:val="00C5562C"/>
    <w:rsid w:val="00C55925"/>
    <w:rsid w:val="00C55A78"/>
    <w:rsid w:val="00C55C94"/>
    <w:rsid w:val="00C560E4"/>
    <w:rsid w:val="00C56101"/>
    <w:rsid w:val="00C56175"/>
    <w:rsid w:val="00C5671A"/>
    <w:rsid w:val="00C56899"/>
    <w:rsid w:val="00C569A0"/>
    <w:rsid w:val="00C57105"/>
    <w:rsid w:val="00C5790F"/>
    <w:rsid w:val="00C57ADC"/>
    <w:rsid w:val="00C57AFB"/>
    <w:rsid w:val="00C57BE8"/>
    <w:rsid w:val="00C57CF1"/>
    <w:rsid w:val="00C57EBD"/>
    <w:rsid w:val="00C60625"/>
    <w:rsid w:val="00C61020"/>
    <w:rsid w:val="00C62211"/>
    <w:rsid w:val="00C62A5C"/>
    <w:rsid w:val="00C62F1A"/>
    <w:rsid w:val="00C62FFC"/>
    <w:rsid w:val="00C6318D"/>
    <w:rsid w:val="00C63846"/>
    <w:rsid w:val="00C63880"/>
    <w:rsid w:val="00C63E3E"/>
    <w:rsid w:val="00C63F59"/>
    <w:rsid w:val="00C64844"/>
    <w:rsid w:val="00C65093"/>
    <w:rsid w:val="00C655FB"/>
    <w:rsid w:val="00C65A5C"/>
    <w:rsid w:val="00C65F3F"/>
    <w:rsid w:val="00C6635B"/>
    <w:rsid w:val="00C66427"/>
    <w:rsid w:val="00C66778"/>
    <w:rsid w:val="00C6702C"/>
    <w:rsid w:val="00C67D2A"/>
    <w:rsid w:val="00C7046F"/>
    <w:rsid w:val="00C7052E"/>
    <w:rsid w:val="00C706BF"/>
    <w:rsid w:val="00C70724"/>
    <w:rsid w:val="00C70B25"/>
    <w:rsid w:val="00C70BD1"/>
    <w:rsid w:val="00C70E88"/>
    <w:rsid w:val="00C71365"/>
    <w:rsid w:val="00C7155E"/>
    <w:rsid w:val="00C719AD"/>
    <w:rsid w:val="00C71E9D"/>
    <w:rsid w:val="00C72320"/>
    <w:rsid w:val="00C723A3"/>
    <w:rsid w:val="00C727C8"/>
    <w:rsid w:val="00C728BE"/>
    <w:rsid w:val="00C734C6"/>
    <w:rsid w:val="00C73D36"/>
    <w:rsid w:val="00C73EFC"/>
    <w:rsid w:val="00C741BD"/>
    <w:rsid w:val="00C745D2"/>
    <w:rsid w:val="00C74FB8"/>
    <w:rsid w:val="00C750B5"/>
    <w:rsid w:val="00C75F4B"/>
    <w:rsid w:val="00C7674C"/>
    <w:rsid w:val="00C76C63"/>
    <w:rsid w:val="00C76D99"/>
    <w:rsid w:val="00C76FB8"/>
    <w:rsid w:val="00C7788A"/>
    <w:rsid w:val="00C77B46"/>
    <w:rsid w:val="00C77F09"/>
    <w:rsid w:val="00C80011"/>
    <w:rsid w:val="00C801F1"/>
    <w:rsid w:val="00C81251"/>
    <w:rsid w:val="00C8202C"/>
    <w:rsid w:val="00C82030"/>
    <w:rsid w:val="00C82518"/>
    <w:rsid w:val="00C82823"/>
    <w:rsid w:val="00C8284F"/>
    <w:rsid w:val="00C82856"/>
    <w:rsid w:val="00C82BA4"/>
    <w:rsid w:val="00C832A9"/>
    <w:rsid w:val="00C8352E"/>
    <w:rsid w:val="00C839EF"/>
    <w:rsid w:val="00C840D9"/>
    <w:rsid w:val="00C84350"/>
    <w:rsid w:val="00C8470B"/>
    <w:rsid w:val="00C849CE"/>
    <w:rsid w:val="00C84CC6"/>
    <w:rsid w:val="00C8528E"/>
    <w:rsid w:val="00C85690"/>
    <w:rsid w:val="00C85BA3"/>
    <w:rsid w:val="00C85D82"/>
    <w:rsid w:val="00C85D93"/>
    <w:rsid w:val="00C865DF"/>
    <w:rsid w:val="00C868DA"/>
    <w:rsid w:val="00C86C55"/>
    <w:rsid w:val="00C86EA8"/>
    <w:rsid w:val="00C86FE5"/>
    <w:rsid w:val="00C8748C"/>
    <w:rsid w:val="00C87783"/>
    <w:rsid w:val="00C90295"/>
    <w:rsid w:val="00C90585"/>
    <w:rsid w:val="00C905DD"/>
    <w:rsid w:val="00C909EE"/>
    <w:rsid w:val="00C90B3D"/>
    <w:rsid w:val="00C90B91"/>
    <w:rsid w:val="00C90CA3"/>
    <w:rsid w:val="00C917FB"/>
    <w:rsid w:val="00C922C2"/>
    <w:rsid w:val="00C92C07"/>
    <w:rsid w:val="00C92D9F"/>
    <w:rsid w:val="00C9359F"/>
    <w:rsid w:val="00C93668"/>
    <w:rsid w:val="00C9399A"/>
    <w:rsid w:val="00C93AB0"/>
    <w:rsid w:val="00C93C4C"/>
    <w:rsid w:val="00C942AD"/>
    <w:rsid w:val="00C9442B"/>
    <w:rsid w:val="00C950CB"/>
    <w:rsid w:val="00C95364"/>
    <w:rsid w:val="00C9584F"/>
    <w:rsid w:val="00C95B7E"/>
    <w:rsid w:val="00C963B7"/>
    <w:rsid w:val="00C963F6"/>
    <w:rsid w:val="00C96C67"/>
    <w:rsid w:val="00C96DB8"/>
    <w:rsid w:val="00C97074"/>
    <w:rsid w:val="00C97160"/>
    <w:rsid w:val="00C97BF3"/>
    <w:rsid w:val="00CA01C5"/>
    <w:rsid w:val="00CA13EB"/>
    <w:rsid w:val="00CA14DC"/>
    <w:rsid w:val="00CA18E7"/>
    <w:rsid w:val="00CA19A7"/>
    <w:rsid w:val="00CA1C53"/>
    <w:rsid w:val="00CA1EBF"/>
    <w:rsid w:val="00CA251B"/>
    <w:rsid w:val="00CA25D7"/>
    <w:rsid w:val="00CA264F"/>
    <w:rsid w:val="00CA2657"/>
    <w:rsid w:val="00CA2C50"/>
    <w:rsid w:val="00CA2E69"/>
    <w:rsid w:val="00CA30C5"/>
    <w:rsid w:val="00CA326B"/>
    <w:rsid w:val="00CA33C2"/>
    <w:rsid w:val="00CA3858"/>
    <w:rsid w:val="00CA385A"/>
    <w:rsid w:val="00CA4080"/>
    <w:rsid w:val="00CA40F9"/>
    <w:rsid w:val="00CA4622"/>
    <w:rsid w:val="00CA5440"/>
    <w:rsid w:val="00CA5532"/>
    <w:rsid w:val="00CA5762"/>
    <w:rsid w:val="00CA6562"/>
    <w:rsid w:val="00CA6A6E"/>
    <w:rsid w:val="00CA735B"/>
    <w:rsid w:val="00CA756C"/>
    <w:rsid w:val="00CA786B"/>
    <w:rsid w:val="00CA7ED4"/>
    <w:rsid w:val="00CB08FA"/>
    <w:rsid w:val="00CB1406"/>
    <w:rsid w:val="00CB19F2"/>
    <w:rsid w:val="00CB1EBE"/>
    <w:rsid w:val="00CB2485"/>
    <w:rsid w:val="00CB2650"/>
    <w:rsid w:val="00CB29C3"/>
    <w:rsid w:val="00CB2C39"/>
    <w:rsid w:val="00CB30EB"/>
    <w:rsid w:val="00CB3139"/>
    <w:rsid w:val="00CB33DF"/>
    <w:rsid w:val="00CB343B"/>
    <w:rsid w:val="00CB36AB"/>
    <w:rsid w:val="00CB406E"/>
    <w:rsid w:val="00CB411D"/>
    <w:rsid w:val="00CB5804"/>
    <w:rsid w:val="00CB58A1"/>
    <w:rsid w:val="00CB6041"/>
    <w:rsid w:val="00CB7067"/>
    <w:rsid w:val="00CB7253"/>
    <w:rsid w:val="00CB7400"/>
    <w:rsid w:val="00CB74D6"/>
    <w:rsid w:val="00CB7B3F"/>
    <w:rsid w:val="00CB7BB7"/>
    <w:rsid w:val="00CB7BE1"/>
    <w:rsid w:val="00CC02C5"/>
    <w:rsid w:val="00CC04AC"/>
    <w:rsid w:val="00CC0672"/>
    <w:rsid w:val="00CC0810"/>
    <w:rsid w:val="00CC09B8"/>
    <w:rsid w:val="00CC0E8A"/>
    <w:rsid w:val="00CC1111"/>
    <w:rsid w:val="00CC1AE4"/>
    <w:rsid w:val="00CC1C54"/>
    <w:rsid w:val="00CC1EE6"/>
    <w:rsid w:val="00CC20B0"/>
    <w:rsid w:val="00CC282E"/>
    <w:rsid w:val="00CC2FA4"/>
    <w:rsid w:val="00CC3CB9"/>
    <w:rsid w:val="00CC40EB"/>
    <w:rsid w:val="00CC422F"/>
    <w:rsid w:val="00CC475A"/>
    <w:rsid w:val="00CC55E6"/>
    <w:rsid w:val="00CC5837"/>
    <w:rsid w:val="00CC5880"/>
    <w:rsid w:val="00CC59CC"/>
    <w:rsid w:val="00CC66AC"/>
    <w:rsid w:val="00CC67EE"/>
    <w:rsid w:val="00CC7759"/>
    <w:rsid w:val="00CC7813"/>
    <w:rsid w:val="00CC7B50"/>
    <w:rsid w:val="00CD0325"/>
    <w:rsid w:val="00CD0652"/>
    <w:rsid w:val="00CD07F3"/>
    <w:rsid w:val="00CD0D11"/>
    <w:rsid w:val="00CD0E84"/>
    <w:rsid w:val="00CD12FC"/>
    <w:rsid w:val="00CD1328"/>
    <w:rsid w:val="00CD2057"/>
    <w:rsid w:val="00CD2104"/>
    <w:rsid w:val="00CD2F64"/>
    <w:rsid w:val="00CD38A8"/>
    <w:rsid w:val="00CD3A6A"/>
    <w:rsid w:val="00CD3B61"/>
    <w:rsid w:val="00CD3B85"/>
    <w:rsid w:val="00CD492B"/>
    <w:rsid w:val="00CD494D"/>
    <w:rsid w:val="00CD4A8E"/>
    <w:rsid w:val="00CD4D13"/>
    <w:rsid w:val="00CD4DC1"/>
    <w:rsid w:val="00CD5447"/>
    <w:rsid w:val="00CD557C"/>
    <w:rsid w:val="00CD5726"/>
    <w:rsid w:val="00CD5803"/>
    <w:rsid w:val="00CD66D0"/>
    <w:rsid w:val="00CD66FF"/>
    <w:rsid w:val="00CD6A64"/>
    <w:rsid w:val="00CD6DB7"/>
    <w:rsid w:val="00CD727E"/>
    <w:rsid w:val="00CD7735"/>
    <w:rsid w:val="00CD7AB3"/>
    <w:rsid w:val="00CD7E91"/>
    <w:rsid w:val="00CD7FAD"/>
    <w:rsid w:val="00CE0E62"/>
    <w:rsid w:val="00CE0E63"/>
    <w:rsid w:val="00CE1217"/>
    <w:rsid w:val="00CE189E"/>
    <w:rsid w:val="00CE1E6F"/>
    <w:rsid w:val="00CE2431"/>
    <w:rsid w:val="00CE3519"/>
    <w:rsid w:val="00CE4200"/>
    <w:rsid w:val="00CE4705"/>
    <w:rsid w:val="00CE4722"/>
    <w:rsid w:val="00CE4C4B"/>
    <w:rsid w:val="00CE6601"/>
    <w:rsid w:val="00CE710B"/>
    <w:rsid w:val="00CE74DB"/>
    <w:rsid w:val="00CE7594"/>
    <w:rsid w:val="00CE77A1"/>
    <w:rsid w:val="00CF0200"/>
    <w:rsid w:val="00CF02DA"/>
    <w:rsid w:val="00CF03B3"/>
    <w:rsid w:val="00CF045F"/>
    <w:rsid w:val="00CF05AD"/>
    <w:rsid w:val="00CF0693"/>
    <w:rsid w:val="00CF161D"/>
    <w:rsid w:val="00CF23F7"/>
    <w:rsid w:val="00CF2719"/>
    <w:rsid w:val="00CF28D5"/>
    <w:rsid w:val="00CF2D1B"/>
    <w:rsid w:val="00CF38A1"/>
    <w:rsid w:val="00CF3EF5"/>
    <w:rsid w:val="00CF4014"/>
    <w:rsid w:val="00CF414B"/>
    <w:rsid w:val="00CF4650"/>
    <w:rsid w:val="00CF4808"/>
    <w:rsid w:val="00CF4A11"/>
    <w:rsid w:val="00CF4FDA"/>
    <w:rsid w:val="00CF5143"/>
    <w:rsid w:val="00CF5D00"/>
    <w:rsid w:val="00CF634B"/>
    <w:rsid w:val="00CF64BD"/>
    <w:rsid w:val="00CF673B"/>
    <w:rsid w:val="00CF745C"/>
    <w:rsid w:val="00CF78DC"/>
    <w:rsid w:val="00CF7AAC"/>
    <w:rsid w:val="00CF7B0F"/>
    <w:rsid w:val="00CF7C68"/>
    <w:rsid w:val="00CF7FF6"/>
    <w:rsid w:val="00D00A8A"/>
    <w:rsid w:val="00D00CC3"/>
    <w:rsid w:val="00D00D46"/>
    <w:rsid w:val="00D00E40"/>
    <w:rsid w:val="00D012E8"/>
    <w:rsid w:val="00D01A1B"/>
    <w:rsid w:val="00D01B03"/>
    <w:rsid w:val="00D01C07"/>
    <w:rsid w:val="00D01D21"/>
    <w:rsid w:val="00D02215"/>
    <w:rsid w:val="00D024FF"/>
    <w:rsid w:val="00D02806"/>
    <w:rsid w:val="00D02DA4"/>
    <w:rsid w:val="00D02E6A"/>
    <w:rsid w:val="00D034B1"/>
    <w:rsid w:val="00D0384D"/>
    <w:rsid w:val="00D03D3A"/>
    <w:rsid w:val="00D0413D"/>
    <w:rsid w:val="00D0462B"/>
    <w:rsid w:val="00D04E53"/>
    <w:rsid w:val="00D05233"/>
    <w:rsid w:val="00D0533D"/>
    <w:rsid w:val="00D0567E"/>
    <w:rsid w:val="00D05B96"/>
    <w:rsid w:val="00D0600F"/>
    <w:rsid w:val="00D06127"/>
    <w:rsid w:val="00D062B7"/>
    <w:rsid w:val="00D062D6"/>
    <w:rsid w:val="00D06350"/>
    <w:rsid w:val="00D06ED5"/>
    <w:rsid w:val="00D06F0D"/>
    <w:rsid w:val="00D07B67"/>
    <w:rsid w:val="00D105D6"/>
    <w:rsid w:val="00D10B95"/>
    <w:rsid w:val="00D10CD8"/>
    <w:rsid w:val="00D10DB2"/>
    <w:rsid w:val="00D10DB3"/>
    <w:rsid w:val="00D10DE3"/>
    <w:rsid w:val="00D114FA"/>
    <w:rsid w:val="00D11CD9"/>
    <w:rsid w:val="00D12703"/>
    <w:rsid w:val="00D128BE"/>
    <w:rsid w:val="00D12B9D"/>
    <w:rsid w:val="00D12E51"/>
    <w:rsid w:val="00D12F7A"/>
    <w:rsid w:val="00D132B7"/>
    <w:rsid w:val="00D13524"/>
    <w:rsid w:val="00D1368B"/>
    <w:rsid w:val="00D13C74"/>
    <w:rsid w:val="00D13D07"/>
    <w:rsid w:val="00D140A7"/>
    <w:rsid w:val="00D1467D"/>
    <w:rsid w:val="00D1484E"/>
    <w:rsid w:val="00D1489C"/>
    <w:rsid w:val="00D14D15"/>
    <w:rsid w:val="00D14E22"/>
    <w:rsid w:val="00D151DF"/>
    <w:rsid w:val="00D157AB"/>
    <w:rsid w:val="00D15A86"/>
    <w:rsid w:val="00D15B11"/>
    <w:rsid w:val="00D15B82"/>
    <w:rsid w:val="00D15D36"/>
    <w:rsid w:val="00D15E2C"/>
    <w:rsid w:val="00D15FF8"/>
    <w:rsid w:val="00D1655B"/>
    <w:rsid w:val="00D16C42"/>
    <w:rsid w:val="00D16F3E"/>
    <w:rsid w:val="00D17480"/>
    <w:rsid w:val="00D174E4"/>
    <w:rsid w:val="00D1784D"/>
    <w:rsid w:val="00D17DA6"/>
    <w:rsid w:val="00D17DF1"/>
    <w:rsid w:val="00D21154"/>
    <w:rsid w:val="00D211E3"/>
    <w:rsid w:val="00D221A2"/>
    <w:rsid w:val="00D2238A"/>
    <w:rsid w:val="00D22E74"/>
    <w:rsid w:val="00D22F2F"/>
    <w:rsid w:val="00D23629"/>
    <w:rsid w:val="00D23787"/>
    <w:rsid w:val="00D24498"/>
    <w:rsid w:val="00D24580"/>
    <w:rsid w:val="00D2476F"/>
    <w:rsid w:val="00D24895"/>
    <w:rsid w:val="00D24C9A"/>
    <w:rsid w:val="00D254B2"/>
    <w:rsid w:val="00D2570C"/>
    <w:rsid w:val="00D25C98"/>
    <w:rsid w:val="00D25F3E"/>
    <w:rsid w:val="00D25F71"/>
    <w:rsid w:val="00D264A7"/>
    <w:rsid w:val="00D269DA"/>
    <w:rsid w:val="00D27041"/>
    <w:rsid w:val="00D270B5"/>
    <w:rsid w:val="00D2714E"/>
    <w:rsid w:val="00D272F8"/>
    <w:rsid w:val="00D27818"/>
    <w:rsid w:val="00D2788B"/>
    <w:rsid w:val="00D30306"/>
    <w:rsid w:val="00D3032B"/>
    <w:rsid w:val="00D3047C"/>
    <w:rsid w:val="00D30781"/>
    <w:rsid w:val="00D30B61"/>
    <w:rsid w:val="00D30D5C"/>
    <w:rsid w:val="00D30FE9"/>
    <w:rsid w:val="00D31863"/>
    <w:rsid w:val="00D31D5A"/>
    <w:rsid w:val="00D323DB"/>
    <w:rsid w:val="00D3249E"/>
    <w:rsid w:val="00D327CE"/>
    <w:rsid w:val="00D32AB4"/>
    <w:rsid w:val="00D3322B"/>
    <w:rsid w:val="00D3399B"/>
    <w:rsid w:val="00D33B2E"/>
    <w:rsid w:val="00D33C13"/>
    <w:rsid w:val="00D3434A"/>
    <w:rsid w:val="00D34B3F"/>
    <w:rsid w:val="00D34F76"/>
    <w:rsid w:val="00D3578C"/>
    <w:rsid w:val="00D36580"/>
    <w:rsid w:val="00D3680C"/>
    <w:rsid w:val="00D36952"/>
    <w:rsid w:val="00D36B5D"/>
    <w:rsid w:val="00D37C37"/>
    <w:rsid w:val="00D404DA"/>
    <w:rsid w:val="00D404E2"/>
    <w:rsid w:val="00D404F5"/>
    <w:rsid w:val="00D40785"/>
    <w:rsid w:val="00D408A9"/>
    <w:rsid w:val="00D410BF"/>
    <w:rsid w:val="00D4117B"/>
    <w:rsid w:val="00D41503"/>
    <w:rsid w:val="00D4194E"/>
    <w:rsid w:val="00D41CCA"/>
    <w:rsid w:val="00D41EBB"/>
    <w:rsid w:val="00D41EC3"/>
    <w:rsid w:val="00D42786"/>
    <w:rsid w:val="00D42911"/>
    <w:rsid w:val="00D4293A"/>
    <w:rsid w:val="00D429D2"/>
    <w:rsid w:val="00D42AA2"/>
    <w:rsid w:val="00D42B86"/>
    <w:rsid w:val="00D42BB0"/>
    <w:rsid w:val="00D42C64"/>
    <w:rsid w:val="00D43225"/>
    <w:rsid w:val="00D4327E"/>
    <w:rsid w:val="00D43375"/>
    <w:rsid w:val="00D436BE"/>
    <w:rsid w:val="00D44642"/>
    <w:rsid w:val="00D446CA"/>
    <w:rsid w:val="00D45BB0"/>
    <w:rsid w:val="00D46364"/>
    <w:rsid w:val="00D468FC"/>
    <w:rsid w:val="00D46E1B"/>
    <w:rsid w:val="00D46FC1"/>
    <w:rsid w:val="00D4759E"/>
    <w:rsid w:val="00D47601"/>
    <w:rsid w:val="00D47E19"/>
    <w:rsid w:val="00D50587"/>
    <w:rsid w:val="00D50A58"/>
    <w:rsid w:val="00D50A5C"/>
    <w:rsid w:val="00D511F4"/>
    <w:rsid w:val="00D514EF"/>
    <w:rsid w:val="00D51851"/>
    <w:rsid w:val="00D52188"/>
    <w:rsid w:val="00D521DE"/>
    <w:rsid w:val="00D524A6"/>
    <w:rsid w:val="00D537E6"/>
    <w:rsid w:val="00D53A3D"/>
    <w:rsid w:val="00D5452B"/>
    <w:rsid w:val="00D545B1"/>
    <w:rsid w:val="00D5489D"/>
    <w:rsid w:val="00D549E8"/>
    <w:rsid w:val="00D54E59"/>
    <w:rsid w:val="00D551C9"/>
    <w:rsid w:val="00D55280"/>
    <w:rsid w:val="00D556DD"/>
    <w:rsid w:val="00D55ED0"/>
    <w:rsid w:val="00D55F72"/>
    <w:rsid w:val="00D561D9"/>
    <w:rsid w:val="00D56939"/>
    <w:rsid w:val="00D56D96"/>
    <w:rsid w:val="00D56DD6"/>
    <w:rsid w:val="00D56F59"/>
    <w:rsid w:val="00D572B2"/>
    <w:rsid w:val="00D5737B"/>
    <w:rsid w:val="00D57719"/>
    <w:rsid w:val="00D60847"/>
    <w:rsid w:val="00D614A7"/>
    <w:rsid w:val="00D61875"/>
    <w:rsid w:val="00D618E2"/>
    <w:rsid w:val="00D618E7"/>
    <w:rsid w:val="00D6191C"/>
    <w:rsid w:val="00D61B66"/>
    <w:rsid w:val="00D621F9"/>
    <w:rsid w:val="00D62206"/>
    <w:rsid w:val="00D627A2"/>
    <w:rsid w:val="00D62AC0"/>
    <w:rsid w:val="00D62AFD"/>
    <w:rsid w:val="00D62BC2"/>
    <w:rsid w:val="00D6337A"/>
    <w:rsid w:val="00D63A71"/>
    <w:rsid w:val="00D63AB0"/>
    <w:rsid w:val="00D63AF8"/>
    <w:rsid w:val="00D63B60"/>
    <w:rsid w:val="00D63EFA"/>
    <w:rsid w:val="00D643F2"/>
    <w:rsid w:val="00D653D3"/>
    <w:rsid w:val="00D659D7"/>
    <w:rsid w:val="00D65F3D"/>
    <w:rsid w:val="00D66891"/>
    <w:rsid w:val="00D66E24"/>
    <w:rsid w:val="00D670DB"/>
    <w:rsid w:val="00D67716"/>
    <w:rsid w:val="00D7013D"/>
    <w:rsid w:val="00D70AED"/>
    <w:rsid w:val="00D70F68"/>
    <w:rsid w:val="00D7113F"/>
    <w:rsid w:val="00D7156A"/>
    <w:rsid w:val="00D7173C"/>
    <w:rsid w:val="00D71BA1"/>
    <w:rsid w:val="00D7215F"/>
    <w:rsid w:val="00D72982"/>
    <w:rsid w:val="00D72A72"/>
    <w:rsid w:val="00D73ACF"/>
    <w:rsid w:val="00D7496B"/>
    <w:rsid w:val="00D74E78"/>
    <w:rsid w:val="00D753F0"/>
    <w:rsid w:val="00D75568"/>
    <w:rsid w:val="00D75736"/>
    <w:rsid w:val="00D7590B"/>
    <w:rsid w:val="00D75937"/>
    <w:rsid w:val="00D75B74"/>
    <w:rsid w:val="00D76BBC"/>
    <w:rsid w:val="00D76BCD"/>
    <w:rsid w:val="00D76C97"/>
    <w:rsid w:val="00D76D86"/>
    <w:rsid w:val="00D76F3E"/>
    <w:rsid w:val="00D772EF"/>
    <w:rsid w:val="00D776D8"/>
    <w:rsid w:val="00D804DB"/>
    <w:rsid w:val="00D806E9"/>
    <w:rsid w:val="00D80F0D"/>
    <w:rsid w:val="00D812B5"/>
    <w:rsid w:val="00D818EB"/>
    <w:rsid w:val="00D82043"/>
    <w:rsid w:val="00D82381"/>
    <w:rsid w:val="00D823F6"/>
    <w:rsid w:val="00D8278E"/>
    <w:rsid w:val="00D827D5"/>
    <w:rsid w:val="00D82E8F"/>
    <w:rsid w:val="00D82FA9"/>
    <w:rsid w:val="00D83827"/>
    <w:rsid w:val="00D83BFB"/>
    <w:rsid w:val="00D83EA6"/>
    <w:rsid w:val="00D843BB"/>
    <w:rsid w:val="00D844AB"/>
    <w:rsid w:val="00D84BF8"/>
    <w:rsid w:val="00D852D1"/>
    <w:rsid w:val="00D861D2"/>
    <w:rsid w:val="00D8637F"/>
    <w:rsid w:val="00D863DA"/>
    <w:rsid w:val="00D864C4"/>
    <w:rsid w:val="00D869F5"/>
    <w:rsid w:val="00D86C88"/>
    <w:rsid w:val="00D86D22"/>
    <w:rsid w:val="00D872A3"/>
    <w:rsid w:val="00D87617"/>
    <w:rsid w:val="00D87A07"/>
    <w:rsid w:val="00D87B44"/>
    <w:rsid w:val="00D9062E"/>
    <w:rsid w:val="00D906D1"/>
    <w:rsid w:val="00D90AF6"/>
    <w:rsid w:val="00D9131A"/>
    <w:rsid w:val="00D91648"/>
    <w:rsid w:val="00D91775"/>
    <w:rsid w:val="00D9194C"/>
    <w:rsid w:val="00D91A18"/>
    <w:rsid w:val="00D923F9"/>
    <w:rsid w:val="00D93589"/>
    <w:rsid w:val="00D94874"/>
    <w:rsid w:val="00D94C0D"/>
    <w:rsid w:val="00D950F4"/>
    <w:rsid w:val="00D951BC"/>
    <w:rsid w:val="00D95502"/>
    <w:rsid w:val="00D95707"/>
    <w:rsid w:val="00D96F75"/>
    <w:rsid w:val="00D9745D"/>
    <w:rsid w:val="00D97AC9"/>
    <w:rsid w:val="00D97FC6"/>
    <w:rsid w:val="00DA06F8"/>
    <w:rsid w:val="00DA07A9"/>
    <w:rsid w:val="00DA07B4"/>
    <w:rsid w:val="00DA0F8B"/>
    <w:rsid w:val="00DA12A0"/>
    <w:rsid w:val="00DA1308"/>
    <w:rsid w:val="00DA1467"/>
    <w:rsid w:val="00DA17DA"/>
    <w:rsid w:val="00DA2663"/>
    <w:rsid w:val="00DA2707"/>
    <w:rsid w:val="00DA2B50"/>
    <w:rsid w:val="00DA3007"/>
    <w:rsid w:val="00DA3188"/>
    <w:rsid w:val="00DA3C6C"/>
    <w:rsid w:val="00DA3E3F"/>
    <w:rsid w:val="00DA47AC"/>
    <w:rsid w:val="00DA4942"/>
    <w:rsid w:val="00DA5335"/>
    <w:rsid w:val="00DA56CE"/>
    <w:rsid w:val="00DA57B0"/>
    <w:rsid w:val="00DA58D8"/>
    <w:rsid w:val="00DA6773"/>
    <w:rsid w:val="00DA70F6"/>
    <w:rsid w:val="00DA726F"/>
    <w:rsid w:val="00DA7460"/>
    <w:rsid w:val="00DA79C7"/>
    <w:rsid w:val="00DA7B2F"/>
    <w:rsid w:val="00DB02BF"/>
    <w:rsid w:val="00DB066A"/>
    <w:rsid w:val="00DB0A49"/>
    <w:rsid w:val="00DB0C24"/>
    <w:rsid w:val="00DB11E1"/>
    <w:rsid w:val="00DB1395"/>
    <w:rsid w:val="00DB1AC2"/>
    <w:rsid w:val="00DB237C"/>
    <w:rsid w:val="00DB2563"/>
    <w:rsid w:val="00DB2569"/>
    <w:rsid w:val="00DB2838"/>
    <w:rsid w:val="00DB288E"/>
    <w:rsid w:val="00DB36B1"/>
    <w:rsid w:val="00DB3F3B"/>
    <w:rsid w:val="00DB412B"/>
    <w:rsid w:val="00DB4323"/>
    <w:rsid w:val="00DB46CC"/>
    <w:rsid w:val="00DB4D3E"/>
    <w:rsid w:val="00DB4E02"/>
    <w:rsid w:val="00DB5135"/>
    <w:rsid w:val="00DB538D"/>
    <w:rsid w:val="00DB5761"/>
    <w:rsid w:val="00DB5DC0"/>
    <w:rsid w:val="00DB6DA1"/>
    <w:rsid w:val="00DB6E43"/>
    <w:rsid w:val="00DB7B6C"/>
    <w:rsid w:val="00DC057E"/>
    <w:rsid w:val="00DC05A9"/>
    <w:rsid w:val="00DC07F0"/>
    <w:rsid w:val="00DC0D15"/>
    <w:rsid w:val="00DC2920"/>
    <w:rsid w:val="00DC29CA"/>
    <w:rsid w:val="00DC340D"/>
    <w:rsid w:val="00DC394C"/>
    <w:rsid w:val="00DC3B73"/>
    <w:rsid w:val="00DC3B88"/>
    <w:rsid w:val="00DC3D26"/>
    <w:rsid w:val="00DC501A"/>
    <w:rsid w:val="00DC5178"/>
    <w:rsid w:val="00DC53D1"/>
    <w:rsid w:val="00DC5672"/>
    <w:rsid w:val="00DC5ADC"/>
    <w:rsid w:val="00DC5B69"/>
    <w:rsid w:val="00DC5DBF"/>
    <w:rsid w:val="00DC6A27"/>
    <w:rsid w:val="00DC6B41"/>
    <w:rsid w:val="00DC6BBF"/>
    <w:rsid w:val="00DC6F94"/>
    <w:rsid w:val="00DC7233"/>
    <w:rsid w:val="00DC75AD"/>
    <w:rsid w:val="00DC792F"/>
    <w:rsid w:val="00DC7BD4"/>
    <w:rsid w:val="00DD07F6"/>
    <w:rsid w:val="00DD0C38"/>
    <w:rsid w:val="00DD26E8"/>
    <w:rsid w:val="00DD2797"/>
    <w:rsid w:val="00DD27CC"/>
    <w:rsid w:val="00DD2AD4"/>
    <w:rsid w:val="00DD42C4"/>
    <w:rsid w:val="00DD43A3"/>
    <w:rsid w:val="00DD485C"/>
    <w:rsid w:val="00DD4AAD"/>
    <w:rsid w:val="00DD501B"/>
    <w:rsid w:val="00DD5236"/>
    <w:rsid w:val="00DD55C3"/>
    <w:rsid w:val="00DD5737"/>
    <w:rsid w:val="00DD5A3B"/>
    <w:rsid w:val="00DD5E1F"/>
    <w:rsid w:val="00DD5F3A"/>
    <w:rsid w:val="00DD62DE"/>
    <w:rsid w:val="00DD7C5B"/>
    <w:rsid w:val="00DD7FE8"/>
    <w:rsid w:val="00DE00C5"/>
    <w:rsid w:val="00DE0348"/>
    <w:rsid w:val="00DE0AE2"/>
    <w:rsid w:val="00DE0E60"/>
    <w:rsid w:val="00DE1398"/>
    <w:rsid w:val="00DE1B8E"/>
    <w:rsid w:val="00DE1D07"/>
    <w:rsid w:val="00DE25D8"/>
    <w:rsid w:val="00DE3662"/>
    <w:rsid w:val="00DE3821"/>
    <w:rsid w:val="00DE3D68"/>
    <w:rsid w:val="00DE3EA6"/>
    <w:rsid w:val="00DE40C9"/>
    <w:rsid w:val="00DE4C36"/>
    <w:rsid w:val="00DE4DA1"/>
    <w:rsid w:val="00DE51BA"/>
    <w:rsid w:val="00DE52D0"/>
    <w:rsid w:val="00DE55E2"/>
    <w:rsid w:val="00DE5660"/>
    <w:rsid w:val="00DE5676"/>
    <w:rsid w:val="00DE56E6"/>
    <w:rsid w:val="00DE5D41"/>
    <w:rsid w:val="00DE5D53"/>
    <w:rsid w:val="00DE6364"/>
    <w:rsid w:val="00DE68DD"/>
    <w:rsid w:val="00DE71F5"/>
    <w:rsid w:val="00DE7268"/>
    <w:rsid w:val="00DE7568"/>
    <w:rsid w:val="00DE7AE4"/>
    <w:rsid w:val="00DE7B84"/>
    <w:rsid w:val="00DF0589"/>
    <w:rsid w:val="00DF0864"/>
    <w:rsid w:val="00DF0B61"/>
    <w:rsid w:val="00DF108B"/>
    <w:rsid w:val="00DF1210"/>
    <w:rsid w:val="00DF16BC"/>
    <w:rsid w:val="00DF1B20"/>
    <w:rsid w:val="00DF2018"/>
    <w:rsid w:val="00DF24BE"/>
    <w:rsid w:val="00DF258C"/>
    <w:rsid w:val="00DF282E"/>
    <w:rsid w:val="00DF2B00"/>
    <w:rsid w:val="00DF2FF7"/>
    <w:rsid w:val="00DF3223"/>
    <w:rsid w:val="00DF3291"/>
    <w:rsid w:val="00DF3BDF"/>
    <w:rsid w:val="00DF3E75"/>
    <w:rsid w:val="00DF3F56"/>
    <w:rsid w:val="00DF40EF"/>
    <w:rsid w:val="00DF422E"/>
    <w:rsid w:val="00DF4B73"/>
    <w:rsid w:val="00DF4E3D"/>
    <w:rsid w:val="00DF4EB4"/>
    <w:rsid w:val="00DF53EC"/>
    <w:rsid w:val="00DF5A31"/>
    <w:rsid w:val="00DF613D"/>
    <w:rsid w:val="00DF6466"/>
    <w:rsid w:val="00DF6665"/>
    <w:rsid w:val="00DF6906"/>
    <w:rsid w:val="00DF6B55"/>
    <w:rsid w:val="00DF6DED"/>
    <w:rsid w:val="00DF6F93"/>
    <w:rsid w:val="00DF6FC9"/>
    <w:rsid w:val="00DF719C"/>
    <w:rsid w:val="00DF76EC"/>
    <w:rsid w:val="00DF78BE"/>
    <w:rsid w:val="00DF78E5"/>
    <w:rsid w:val="00E003FB"/>
    <w:rsid w:val="00E0043C"/>
    <w:rsid w:val="00E00740"/>
    <w:rsid w:val="00E00F5B"/>
    <w:rsid w:val="00E01110"/>
    <w:rsid w:val="00E01170"/>
    <w:rsid w:val="00E01A9B"/>
    <w:rsid w:val="00E01D55"/>
    <w:rsid w:val="00E01DA1"/>
    <w:rsid w:val="00E021CC"/>
    <w:rsid w:val="00E02221"/>
    <w:rsid w:val="00E02AB9"/>
    <w:rsid w:val="00E0329D"/>
    <w:rsid w:val="00E03BED"/>
    <w:rsid w:val="00E03E5A"/>
    <w:rsid w:val="00E04175"/>
    <w:rsid w:val="00E0485F"/>
    <w:rsid w:val="00E0488B"/>
    <w:rsid w:val="00E04CB7"/>
    <w:rsid w:val="00E04EC9"/>
    <w:rsid w:val="00E056F3"/>
    <w:rsid w:val="00E0583B"/>
    <w:rsid w:val="00E05A94"/>
    <w:rsid w:val="00E05C70"/>
    <w:rsid w:val="00E05C8E"/>
    <w:rsid w:val="00E05DD2"/>
    <w:rsid w:val="00E0605E"/>
    <w:rsid w:val="00E06CA8"/>
    <w:rsid w:val="00E07CA3"/>
    <w:rsid w:val="00E07D5D"/>
    <w:rsid w:val="00E10852"/>
    <w:rsid w:val="00E10B52"/>
    <w:rsid w:val="00E10D1F"/>
    <w:rsid w:val="00E10EF1"/>
    <w:rsid w:val="00E11377"/>
    <w:rsid w:val="00E11A35"/>
    <w:rsid w:val="00E11B2B"/>
    <w:rsid w:val="00E11D33"/>
    <w:rsid w:val="00E11F2A"/>
    <w:rsid w:val="00E12192"/>
    <w:rsid w:val="00E12BDB"/>
    <w:rsid w:val="00E12C62"/>
    <w:rsid w:val="00E12F3B"/>
    <w:rsid w:val="00E1321A"/>
    <w:rsid w:val="00E14960"/>
    <w:rsid w:val="00E14AA0"/>
    <w:rsid w:val="00E154E8"/>
    <w:rsid w:val="00E15745"/>
    <w:rsid w:val="00E15942"/>
    <w:rsid w:val="00E15AF9"/>
    <w:rsid w:val="00E15EAD"/>
    <w:rsid w:val="00E1609F"/>
    <w:rsid w:val="00E1693E"/>
    <w:rsid w:val="00E1797C"/>
    <w:rsid w:val="00E17A07"/>
    <w:rsid w:val="00E17B28"/>
    <w:rsid w:val="00E17E38"/>
    <w:rsid w:val="00E207A8"/>
    <w:rsid w:val="00E208DB"/>
    <w:rsid w:val="00E20A0D"/>
    <w:rsid w:val="00E20BAF"/>
    <w:rsid w:val="00E20D4F"/>
    <w:rsid w:val="00E211C6"/>
    <w:rsid w:val="00E218AB"/>
    <w:rsid w:val="00E21C73"/>
    <w:rsid w:val="00E22954"/>
    <w:rsid w:val="00E22B89"/>
    <w:rsid w:val="00E22CF3"/>
    <w:rsid w:val="00E22F42"/>
    <w:rsid w:val="00E23905"/>
    <w:rsid w:val="00E23B1D"/>
    <w:rsid w:val="00E23F7E"/>
    <w:rsid w:val="00E244E0"/>
    <w:rsid w:val="00E24511"/>
    <w:rsid w:val="00E24B74"/>
    <w:rsid w:val="00E24D7D"/>
    <w:rsid w:val="00E25207"/>
    <w:rsid w:val="00E25689"/>
    <w:rsid w:val="00E25B67"/>
    <w:rsid w:val="00E25FD5"/>
    <w:rsid w:val="00E260C8"/>
    <w:rsid w:val="00E26661"/>
    <w:rsid w:val="00E266F1"/>
    <w:rsid w:val="00E268BA"/>
    <w:rsid w:val="00E2693C"/>
    <w:rsid w:val="00E2698B"/>
    <w:rsid w:val="00E2723C"/>
    <w:rsid w:val="00E30216"/>
    <w:rsid w:val="00E304C5"/>
    <w:rsid w:val="00E30610"/>
    <w:rsid w:val="00E30866"/>
    <w:rsid w:val="00E31BA8"/>
    <w:rsid w:val="00E32660"/>
    <w:rsid w:val="00E32C04"/>
    <w:rsid w:val="00E32F73"/>
    <w:rsid w:val="00E33468"/>
    <w:rsid w:val="00E33900"/>
    <w:rsid w:val="00E348D4"/>
    <w:rsid w:val="00E34BCB"/>
    <w:rsid w:val="00E34BD0"/>
    <w:rsid w:val="00E34F1D"/>
    <w:rsid w:val="00E36253"/>
    <w:rsid w:val="00E3637F"/>
    <w:rsid w:val="00E36387"/>
    <w:rsid w:val="00E368B0"/>
    <w:rsid w:val="00E36AEB"/>
    <w:rsid w:val="00E36B59"/>
    <w:rsid w:val="00E3769C"/>
    <w:rsid w:val="00E4036D"/>
    <w:rsid w:val="00E40F19"/>
    <w:rsid w:val="00E40F6B"/>
    <w:rsid w:val="00E41F19"/>
    <w:rsid w:val="00E4205F"/>
    <w:rsid w:val="00E42B7D"/>
    <w:rsid w:val="00E439A2"/>
    <w:rsid w:val="00E43A8F"/>
    <w:rsid w:val="00E443B0"/>
    <w:rsid w:val="00E44488"/>
    <w:rsid w:val="00E44656"/>
    <w:rsid w:val="00E4477F"/>
    <w:rsid w:val="00E44B08"/>
    <w:rsid w:val="00E46043"/>
    <w:rsid w:val="00E46269"/>
    <w:rsid w:val="00E46421"/>
    <w:rsid w:val="00E46D4D"/>
    <w:rsid w:val="00E46FEE"/>
    <w:rsid w:val="00E47868"/>
    <w:rsid w:val="00E4794C"/>
    <w:rsid w:val="00E4799B"/>
    <w:rsid w:val="00E50FEF"/>
    <w:rsid w:val="00E51381"/>
    <w:rsid w:val="00E51649"/>
    <w:rsid w:val="00E51DD4"/>
    <w:rsid w:val="00E51E39"/>
    <w:rsid w:val="00E51EF6"/>
    <w:rsid w:val="00E51F34"/>
    <w:rsid w:val="00E52121"/>
    <w:rsid w:val="00E5293C"/>
    <w:rsid w:val="00E531D5"/>
    <w:rsid w:val="00E53832"/>
    <w:rsid w:val="00E538D4"/>
    <w:rsid w:val="00E53ECD"/>
    <w:rsid w:val="00E53F9F"/>
    <w:rsid w:val="00E54147"/>
    <w:rsid w:val="00E547C7"/>
    <w:rsid w:val="00E54831"/>
    <w:rsid w:val="00E54B2A"/>
    <w:rsid w:val="00E54E38"/>
    <w:rsid w:val="00E55C34"/>
    <w:rsid w:val="00E5606F"/>
    <w:rsid w:val="00E569E5"/>
    <w:rsid w:val="00E56D74"/>
    <w:rsid w:val="00E57502"/>
    <w:rsid w:val="00E575D1"/>
    <w:rsid w:val="00E57A9E"/>
    <w:rsid w:val="00E6160B"/>
    <w:rsid w:val="00E61E27"/>
    <w:rsid w:val="00E62340"/>
    <w:rsid w:val="00E6256B"/>
    <w:rsid w:val="00E626ED"/>
    <w:rsid w:val="00E627BB"/>
    <w:rsid w:val="00E62912"/>
    <w:rsid w:val="00E62F12"/>
    <w:rsid w:val="00E6304C"/>
    <w:rsid w:val="00E632CD"/>
    <w:rsid w:val="00E63E22"/>
    <w:rsid w:val="00E6432E"/>
    <w:rsid w:val="00E643A9"/>
    <w:rsid w:val="00E64D2F"/>
    <w:rsid w:val="00E64EC4"/>
    <w:rsid w:val="00E651A3"/>
    <w:rsid w:val="00E6538D"/>
    <w:rsid w:val="00E653F5"/>
    <w:rsid w:val="00E65673"/>
    <w:rsid w:val="00E65986"/>
    <w:rsid w:val="00E66084"/>
    <w:rsid w:val="00E662BE"/>
    <w:rsid w:val="00E66429"/>
    <w:rsid w:val="00E66532"/>
    <w:rsid w:val="00E66601"/>
    <w:rsid w:val="00E66E17"/>
    <w:rsid w:val="00E67866"/>
    <w:rsid w:val="00E67D46"/>
    <w:rsid w:val="00E67D7B"/>
    <w:rsid w:val="00E67FF9"/>
    <w:rsid w:val="00E701D7"/>
    <w:rsid w:val="00E70265"/>
    <w:rsid w:val="00E70363"/>
    <w:rsid w:val="00E7077E"/>
    <w:rsid w:val="00E707C7"/>
    <w:rsid w:val="00E70962"/>
    <w:rsid w:val="00E70EEC"/>
    <w:rsid w:val="00E710AA"/>
    <w:rsid w:val="00E710E6"/>
    <w:rsid w:val="00E71570"/>
    <w:rsid w:val="00E7185A"/>
    <w:rsid w:val="00E719E7"/>
    <w:rsid w:val="00E71ECE"/>
    <w:rsid w:val="00E7246C"/>
    <w:rsid w:val="00E72592"/>
    <w:rsid w:val="00E72987"/>
    <w:rsid w:val="00E72F02"/>
    <w:rsid w:val="00E73310"/>
    <w:rsid w:val="00E7345F"/>
    <w:rsid w:val="00E73E35"/>
    <w:rsid w:val="00E74408"/>
    <w:rsid w:val="00E74599"/>
    <w:rsid w:val="00E74E19"/>
    <w:rsid w:val="00E750AC"/>
    <w:rsid w:val="00E75C62"/>
    <w:rsid w:val="00E75D1B"/>
    <w:rsid w:val="00E75FD2"/>
    <w:rsid w:val="00E760D8"/>
    <w:rsid w:val="00E76449"/>
    <w:rsid w:val="00E769C7"/>
    <w:rsid w:val="00E76F8E"/>
    <w:rsid w:val="00E77641"/>
    <w:rsid w:val="00E77715"/>
    <w:rsid w:val="00E77B15"/>
    <w:rsid w:val="00E77D4D"/>
    <w:rsid w:val="00E80048"/>
    <w:rsid w:val="00E8014F"/>
    <w:rsid w:val="00E80282"/>
    <w:rsid w:val="00E80303"/>
    <w:rsid w:val="00E803CD"/>
    <w:rsid w:val="00E804E6"/>
    <w:rsid w:val="00E80512"/>
    <w:rsid w:val="00E809B4"/>
    <w:rsid w:val="00E80C3D"/>
    <w:rsid w:val="00E80D6F"/>
    <w:rsid w:val="00E8117A"/>
    <w:rsid w:val="00E814A8"/>
    <w:rsid w:val="00E81518"/>
    <w:rsid w:val="00E81B13"/>
    <w:rsid w:val="00E82389"/>
    <w:rsid w:val="00E82391"/>
    <w:rsid w:val="00E82A91"/>
    <w:rsid w:val="00E82EEA"/>
    <w:rsid w:val="00E830C7"/>
    <w:rsid w:val="00E845A3"/>
    <w:rsid w:val="00E84626"/>
    <w:rsid w:val="00E8548F"/>
    <w:rsid w:val="00E854B1"/>
    <w:rsid w:val="00E85776"/>
    <w:rsid w:val="00E862BD"/>
    <w:rsid w:val="00E863AC"/>
    <w:rsid w:val="00E86D17"/>
    <w:rsid w:val="00E86E17"/>
    <w:rsid w:val="00E871C1"/>
    <w:rsid w:val="00E8774E"/>
    <w:rsid w:val="00E87D4B"/>
    <w:rsid w:val="00E9006A"/>
    <w:rsid w:val="00E9048C"/>
    <w:rsid w:val="00E90738"/>
    <w:rsid w:val="00E909F9"/>
    <w:rsid w:val="00E90B17"/>
    <w:rsid w:val="00E90C6E"/>
    <w:rsid w:val="00E90CD2"/>
    <w:rsid w:val="00E90E88"/>
    <w:rsid w:val="00E9105B"/>
    <w:rsid w:val="00E91280"/>
    <w:rsid w:val="00E912D4"/>
    <w:rsid w:val="00E91571"/>
    <w:rsid w:val="00E91BC3"/>
    <w:rsid w:val="00E926CF"/>
    <w:rsid w:val="00E9275D"/>
    <w:rsid w:val="00E92DFC"/>
    <w:rsid w:val="00E92EC5"/>
    <w:rsid w:val="00E93346"/>
    <w:rsid w:val="00E93503"/>
    <w:rsid w:val="00E93C7A"/>
    <w:rsid w:val="00E942E1"/>
    <w:rsid w:val="00E943E6"/>
    <w:rsid w:val="00E94441"/>
    <w:rsid w:val="00E9452A"/>
    <w:rsid w:val="00E94880"/>
    <w:rsid w:val="00E94942"/>
    <w:rsid w:val="00E951FB"/>
    <w:rsid w:val="00E9526F"/>
    <w:rsid w:val="00E95362"/>
    <w:rsid w:val="00E95C7D"/>
    <w:rsid w:val="00E95D79"/>
    <w:rsid w:val="00E95D7F"/>
    <w:rsid w:val="00E95FF0"/>
    <w:rsid w:val="00E96231"/>
    <w:rsid w:val="00E963EC"/>
    <w:rsid w:val="00E96D73"/>
    <w:rsid w:val="00E96F52"/>
    <w:rsid w:val="00E9730B"/>
    <w:rsid w:val="00E9733D"/>
    <w:rsid w:val="00E9753F"/>
    <w:rsid w:val="00E97792"/>
    <w:rsid w:val="00EA070C"/>
    <w:rsid w:val="00EA0C3F"/>
    <w:rsid w:val="00EA1612"/>
    <w:rsid w:val="00EA17A5"/>
    <w:rsid w:val="00EA185B"/>
    <w:rsid w:val="00EA219F"/>
    <w:rsid w:val="00EA2362"/>
    <w:rsid w:val="00EA2933"/>
    <w:rsid w:val="00EA2BE4"/>
    <w:rsid w:val="00EA2C70"/>
    <w:rsid w:val="00EA2F1D"/>
    <w:rsid w:val="00EA3172"/>
    <w:rsid w:val="00EA3178"/>
    <w:rsid w:val="00EA31CD"/>
    <w:rsid w:val="00EA339B"/>
    <w:rsid w:val="00EA3522"/>
    <w:rsid w:val="00EA37D4"/>
    <w:rsid w:val="00EA4734"/>
    <w:rsid w:val="00EA51D5"/>
    <w:rsid w:val="00EA54FA"/>
    <w:rsid w:val="00EA5DAC"/>
    <w:rsid w:val="00EA5E00"/>
    <w:rsid w:val="00EA6097"/>
    <w:rsid w:val="00EA63AB"/>
    <w:rsid w:val="00EA732F"/>
    <w:rsid w:val="00EA73E1"/>
    <w:rsid w:val="00EB0014"/>
    <w:rsid w:val="00EB064C"/>
    <w:rsid w:val="00EB06A9"/>
    <w:rsid w:val="00EB119C"/>
    <w:rsid w:val="00EB11BB"/>
    <w:rsid w:val="00EB25EF"/>
    <w:rsid w:val="00EB2945"/>
    <w:rsid w:val="00EB2A3E"/>
    <w:rsid w:val="00EB2F80"/>
    <w:rsid w:val="00EB3098"/>
    <w:rsid w:val="00EB30EA"/>
    <w:rsid w:val="00EB33CF"/>
    <w:rsid w:val="00EB3412"/>
    <w:rsid w:val="00EB3A63"/>
    <w:rsid w:val="00EB406A"/>
    <w:rsid w:val="00EB4195"/>
    <w:rsid w:val="00EB4386"/>
    <w:rsid w:val="00EB43E2"/>
    <w:rsid w:val="00EB47AD"/>
    <w:rsid w:val="00EB47C6"/>
    <w:rsid w:val="00EB4E0E"/>
    <w:rsid w:val="00EB4E78"/>
    <w:rsid w:val="00EB507F"/>
    <w:rsid w:val="00EB53A3"/>
    <w:rsid w:val="00EB6062"/>
    <w:rsid w:val="00EB6728"/>
    <w:rsid w:val="00EB6FB8"/>
    <w:rsid w:val="00EB72CA"/>
    <w:rsid w:val="00EB7E97"/>
    <w:rsid w:val="00EC04A0"/>
    <w:rsid w:val="00EC0932"/>
    <w:rsid w:val="00EC0AB2"/>
    <w:rsid w:val="00EC0B8F"/>
    <w:rsid w:val="00EC0C9D"/>
    <w:rsid w:val="00EC11C9"/>
    <w:rsid w:val="00EC14EF"/>
    <w:rsid w:val="00EC16B2"/>
    <w:rsid w:val="00EC1728"/>
    <w:rsid w:val="00EC1867"/>
    <w:rsid w:val="00EC1A0F"/>
    <w:rsid w:val="00EC1BC4"/>
    <w:rsid w:val="00EC20A6"/>
    <w:rsid w:val="00EC2129"/>
    <w:rsid w:val="00EC26A5"/>
    <w:rsid w:val="00EC2A95"/>
    <w:rsid w:val="00EC2C94"/>
    <w:rsid w:val="00EC2FD5"/>
    <w:rsid w:val="00EC30C0"/>
    <w:rsid w:val="00EC3756"/>
    <w:rsid w:val="00EC3CFD"/>
    <w:rsid w:val="00EC4CD6"/>
    <w:rsid w:val="00EC4DD4"/>
    <w:rsid w:val="00EC4E51"/>
    <w:rsid w:val="00EC5676"/>
    <w:rsid w:val="00EC57A6"/>
    <w:rsid w:val="00EC5B33"/>
    <w:rsid w:val="00EC62A0"/>
    <w:rsid w:val="00EC6655"/>
    <w:rsid w:val="00EC66FA"/>
    <w:rsid w:val="00EC6D2E"/>
    <w:rsid w:val="00EC6F1E"/>
    <w:rsid w:val="00EC6F99"/>
    <w:rsid w:val="00EC702E"/>
    <w:rsid w:val="00EC7076"/>
    <w:rsid w:val="00EC746F"/>
    <w:rsid w:val="00EC7B8B"/>
    <w:rsid w:val="00EC7C17"/>
    <w:rsid w:val="00EC7E29"/>
    <w:rsid w:val="00ED04BC"/>
    <w:rsid w:val="00ED0C97"/>
    <w:rsid w:val="00ED17A2"/>
    <w:rsid w:val="00ED1939"/>
    <w:rsid w:val="00ED1DB8"/>
    <w:rsid w:val="00ED22F1"/>
    <w:rsid w:val="00ED2705"/>
    <w:rsid w:val="00ED37B5"/>
    <w:rsid w:val="00ED3DDA"/>
    <w:rsid w:val="00ED415B"/>
    <w:rsid w:val="00ED43E8"/>
    <w:rsid w:val="00ED4466"/>
    <w:rsid w:val="00ED4837"/>
    <w:rsid w:val="00ED4995"/>
    <w:rsid w:val="00ED4C14"/>
    <w:rsid w:val="00ED578F"/>
    <w:rsid w:val="00ED5940"/>
    <w:rsid w:val="00ED6148"/>
    <w:rsid w:val="00ED61B3"/>
    <w:rsid w:val="00ED63BD"/>
    <w:rsid w:val="00ED658A"/>
    <w:rsid w:val="00ED65AD"/>
    <w:rsid w:val="00ED66B8"/>
    <w:rsid w:val="00ED6A3B"/>
    <w:rsid w:val="00ED6EBB"/>
    <w:rsid w:val="00ED7353"/>
    <w:rsid w:val="00ED737F"/>
    <w:rsid w:val="00ED75E1"/>
    <w:rsid w:val="00ED77AD"/>
    <w:rsid w:val="00EE00C6"/>
    <w:rsid w:val="00EE029A"/>
    <w:rsid w:val="00EE04DA"/>
    <w:rsid w:val="00EE079A"/>
    <w:rsid w:val="00EE094E"/>
    <w:rsid w:val="00EE0D73"/>
    <w:rsid w:val="00EE1D38"/>
    <w:rsid w:val="00EE1F1A"/>
    <w:rsid w:val="00EE2955"/>
    <w:rsid w:val="00EE2A3E"/>
    <w:rsid w:val="00EE2D77"/>
    <w:rsid w:val="00EE30AF"/>
    <w:rsid w:val="00EE3210"/>
    <w:rsid w:val="00EE37B8"/>
    <w:rsid w:val="00EE3B19"/>
    <w:rsid w:val="00EE3E76"/>
    <w:rsid w:val="00EE3F51"/>
    <w:rsid w:val="00EE3F64"/>
    <w:rsid w:val="00EE47F0"/>
    <w:rsid w:val="00EE4F93"/>
    <w:rsid w:val="00EE5A35"/>
    <w:rsid w:val="00EE5E42"/>
    <w:rsid w:val="00EE5FC5"/>
    <w:rsid w:val="00EE602C"/>
    <w:rsid w:val="00EE6202"/>
    <w:rsid w:val="00EE693C"/>
    <w:rsid w:val="00EE6B9F"/>
    <w:rsid w:val="00EE6EA3"/>
    <w:rsid w:val="00EE74E6"/>
    <w:rsid w:val="00EE79A0"/>
    <w:rsid w:val="00EF003F"/>
    <w:rsid w:val="00EF0417"/>
    <w:rsid w:val="00EF045C"/>
    <w:rsid w:val="00EF08A5"/>
    <w:rsid w:val="00EF0F6B"/>
    <w:rsid w:val="00EF1037"/>
    <w:rsid w:val="00EF1406"/>
    <w:rsid w:val="00EF1502"/>
    <w:rsid w:val="00EF1CEE"/>
    <w:rsid w:val="00EF1E3F"/>
    <w:rsid w:val="00EF2251"/>
    <w:rsid w:val="00EF24F4"/>
    <w:rsid w:val="00EF2870"/>
    <w:rsid w:val="00EF2AF6"/>
    <w:rsid w:val="00EF31E4"/>
    <w:rsid w:val="00EF3590"/>
    <w:rsid w:val="00EF36ED"/>
    <w:rsid w:val="00EF39D3"/>
    <w:rsid w:val="00EF3A53"/>
    <w:rsid w:val="00EF3B40"/>
    <w:rsid w:val="00EF3DDE"/>
    <w:rsid w:val="00EF3E0A"/>
    <w:rsid w:val="00EF3F58"/>
    <w:rsid w:val="00EF4608"/>
    <w:rsid w:val="00EF4AD0"/>
    <w:rsid w:val="00EF4F6F"/>
    <w:rsid w:val="00EF5349"/>
    <w:rsid w:val="00EF5656"/>
    <w:rsid w:val="00EF5755"/>
    <w:rsid w:val="00EF5B16"/>
    <w:rsid w:val="00EF5B4D"/>
    <w:rsid w:val="00EF5DCC"/>
    <w:rsid w:val="00EF6997"/>
    <w:rsid w:val="00EF77F6"/>
    <w:rsid w:val="00EF7DEC"/>
    <w:rsid w:val="00F00CC6"/>
    <w:rsid w:val="00F00ED2"/>
    <w:rsid w:val="00F0115E"/>
    <w:rsid w:val="00F017A9"/>
    <w:rsid w:val="00F01849"/>
    <w:rsid w:val="00F018A7"/>
    <w:rsid w:val="00F01A13"/>
    <w:rsid w:val="00F02048"/>
    <w:rsid w:val="00F0248F"/>
    <w:rsid w:val="00F0268F"/>
    <w:rsid w:val="00F031DE"/>
    <w:rsid w:val="00F0380F"/>
    <w:rsid w:val="00F03A32"/>
    <w:rsid w:val="00F041B6"/>
    <w:rsid w:val="00F04201"/>
    <w:rsid w:val="00F045CB"/>
    <w:rsid w:val="00F049BA"/>
    <w:rsid w:val="00F04B94"/>
    <w:rsid w:val="00F04C1C"/>
    <w:rsid w:val="00F04F33"/>
    <w:rsid w:val="00F04F5C"/>
    <w:rsid w:val="00F0510B"/>
    <w:rsid w:val="00F0523E"/>
    <w:rsid w:val="00F054D1"/>
    <w:rsid w:val="00F06032"/>
    <w:rsid w:val="00F06105"/>
    <w:rsid w:val="00F06199"/>
    <w:rsid w:val="00F0654D"/>
    <w:rsid w:val="00F0654F"/>
    <w:rsid w:val="00F06C05"/>
    <w:rsid w:val="00F07030"/>
    <w:rsid w:val="00F07A66"/>
    <w:rsid w:val="00F07C8A"/>
    <w:rsid w:val="00F07CC6"/>
    <w:rsid w:val="00F07EE6"/>
    <w:rsid w:val="00F101C1"/>
    <w:rsid w:val="00F1055D"/>
    <w:rsid w:val="00F10E0B"/>
    <w:rsid w:val="00F10FB8"/>
    <w:rsid w:val="00F1103F"/>
    <w:rsid w:val="00F111F2"/>
    <w:rsid w:val="00F1169F"/>
    <w:rsid w:val="00F11750"/>
    <w:rsid w:val="00F1184D"/>
    <w:rsid w:val="00F11A67"/>
    <w:rsid w:val="00F11FC1"/>
    <w:rsid w:val="00F12509"/>
    <w:rsid w:val="00F1261D"/>
    <w:rsid w:val="00F127AB"/>
    <w:rsid w:val="00F12AE9"/>
    <w:rsid w:val="00F1308B"/>
    <w:rsid w:val="00F15006"/>
    <w:rsid w:val="00F15057"/>
    <w:rsid w:val="00F1511C"/>
    <w:rsid w:val="00F153DC"/>
    <w:rsid w:val="00F156AE"/>
    <w:rsid w:val="00F15DCD"/>
    <w:rsid w:val="00F16158"/>
    <w:rsid w:val="00F1675E"/>
    <w:rsid w:val="00F16CDB"/>
    <w:rsid w:val="00F16EB3"/>
    <w:rsid w:val="00F17033"/>
    <w:rsid w:val="00F171AB"/>
    <w:rsid w:val="00F172CF"/>
    <w:rsid w:val="00F176B3"/>
    <w:rsid w:val="00F176D2"/>
    <w:rsid w:val="00F17A2C"/>
    <w:rsid w:val="00F17B92"/>
    <w:rsid w:val="00F2037C"/>
    <w:rsid w:val="00F204A7"/>
    <w:rsid w:val="00F205E3"/>
    <w:rsid w:val="00F208D3"/>
    <w:rsid w:val="00F20A33"/>
    <w:rsid w:val="00F20E5D"/>
    <w:rsid w:val="00F21117"/>
    <w:rsid w:val="00F21410"/>
    <w:rsid w:val="00F215ED"/>
    <w:rsid w:val="00F217D2"/>
    <w:rsid w:val="00F21994"/>
    <w:rsid w:val="00F21C78"/>
    <w:rsid w:val="00F21F7A"/>
    <w:rsid w:val="00F22037"/>
    <w:rsid w:val="00F22723"/>
    <w:rsid w:val="00F2299D"/>
    <w:rsid w:val="00F22CEA"/>
    <w:rsid w:val="00F23011"/>
    <w:rsid w:val="00F2341D"/>
    <w:rsid w:val="00F2383E"/>
    <w:rsid w:val="00F2386D"/>
    <w:rsid w:val="00F23B94"/>
    <w:rsid w:val="00F23F8E"/>
    <w:rsid w:val="00F24075"/>
    <w:rsid w:val="00F24167"/>
    <w:rsid w:val="00F245A9"/>
    <w:rsid w:val="00F248E9"/>
    <w:rsid w:val="00F25492"/>
    <w:rsid w:val="00F25950"/>
    <w:rsid w:val="00F25F7C"/>
    <w:rsid w:val="00F26248"/>
    <w:rsid w:val="00F26531"/>
    <w:rsid w:val="00F26888"/>
    <w:rsid w:val="00F270B1"/>
    <w:rsid w:val="00F27990"/>
    <w:rsid w:val="00F30175"/>
    <w:rsid w:val="00F30344"/>
    <w:rsid w:val="00F30470"/>
    <w:rsid w:val="00F30691"/>
    <w:rsid w:val="00F30A16"/>
    <w:rsid w:val="00F30A9B"/>
    <w:rsid w:val="00F31A66"/>
    <w:rsid w:val="00F31C26"/>
    <w:rsid w:val="00F31D83"/>
    <w:rsid w:val="00F321C1"/>
    <w:rsid w:val="00F32AD6"/>
    <w:rsid w:val="00F33096"/>
    <w:rsid w:val="00F33121"/>
    <w:rsid w:val="00F3324F"/>
    <w:rsid w:val="00F332F3"/>
    <w:rsid w:val="00F3337F"/>
    <w:rsid w:val="00F34216"/>
    <w:rsid w:val="00F34373"/>
    <w:rsid w:val="00F34589"/>
    <w:rsid w:val="00F3490E"/>
    <w:rsid w:val="00F34C7C"/>
    <w:rsid w:val="00F34C97"/>
    <w:rsid w:val="00F3517E"/>
    <w:rsid w:val="00F35261"/>
    <w:rsid w:val="00F35847"/>
    <w:rsid w:val="00F3653F"/>
    <w:rsid w:val="00F36BE2"/>
    <w:rsid w:val="00F36D08"/>
    <w:rsid w:val="00F3729F"/>
    <w:rsid w:val="00F37BD8"/>
    <w:rsid w:val="00F40BE7"/>
    <w:rsid w:val="00F40FFE"/>
    <w:rsid w:val="00F42059"/>
    <w:rsid w:val="00F422DD"/>
    <w:rsid w:val="00F4268A"/>
    <w:rsid w:val="00F42810"/>
    <w:rsid w:val="00F42A55"/>
    <w:rsid w:val="00F43AB6"/>
    <w:rsid w:val="00F43B47"/>
    <w:rsid w:val="00F43EFF"/>
    <w:rsid w:val="00F446EF"/>
    <w:rsid w:val="00F449C1"/>
    <w:rsid w:val="00F44AA4"/>
    <w:rsid w:val="00F44BC4"/>
    <w:rsid w:val="00F44C21"/>
    <w:rsid w:val="00F44C4F"/>
    <w:rsid w:val="00F44C60"/>
    <w:rsid w:val="00F45320"/>
    <w:rsid w:val="00F45EA2"/>
    <w:rsid w:val="00F46376"/>
    <w:rsid w:val="00F4657C"/>
    <w:rsid w:val="00F46822"/>
    <w:rsid w:val="00F46EE5"/>
    <w:rsid w:val="00F4777F"/>
    <w:rsid w:val="00F47937"/>
    <w:rsid w:val="00F47AD1"/>
    <w:rsid w:val="00F47B0A"/>
    <w:rsid w:val="00F50309"/>
    <w:rsid w:val="00F503B0"/>
    <w:rsid w:val="00F5048A"/>
    <w:rsid w:val="00F50A8A"/>
    <w:rsid w:val="00F50F91"/>
    <w:rsid w:val="00F50FC6"/>
    <w:rsid w:val="00F515A4"/>
    <w:rsid w:val="00F51B82"/>
    <w:rsid w:val="00F51E30"/>
    <w:rsid w:val="00F52154"/>
    <w:rsid w:val="00F5306D"/>
    <w:rsid w:val="00F533EA"/>
    <w:rsid w:val="00F53951"/>
    <w:rsid w:val="00F53AD1"/>
    <w:rsid w:val="00F53D0D"/>
    <w:rsid w:val="00F54848"/>
    <w:rsid w:val="00F54B59"/>
    <w:rsid w:val="00F54C11"/>
    <w:rsid w:val="00F54D53"/>
    <w:rsid w:val="00F54D9A"/>
    <w:rsid w:val="00F55425"/>
    <w:rsid w:val="00F556CD"/>
    <w:rsid w:val="00F55C91"/>
    <w:rsid w:val="00F55F2F"/>
    <w:rsid w:val="00F55F3A"/>
    <w:rsid w:val="00F5661B"/>
    <w:rsid w:val="00F56B01"/>
    <w:rsid w:val="00F56CE7"/>
    <w:rsid w:val="00F5756D"/>
    <w:rsid w:val="00F6038E"/>
    <w:rsid w:val="00F603B3"/>
    <w:rsid w:val="00F60524"/>
    <w:rsid w:val="00F605FC"/>
    <w:rsid w:val="00F607E3"/>
    <w:rsid w:val="00F60966"/>
    <w:rsid w:val="00F60D69"/>
    <w:rsid w:val="00F60EC0"/>
    <w:rsid w:val="00F60EDC"/>
    <w:rsid w:val="00F60FAB"/>
    <w:rsid w:val="00F61595"/>
    <w:rsid w:val="00F616CF"/>
    <w:rsid w:val="00F6211F"/>
    <w:rsid w:val="00F626D1"/>
    <w:rsid w:val="00F6286B"/>
    <w:rsid w:val="00F62918"/>
    <w:rsid w:val="00F6298F"/>
    <w:rsid w:val="00F62A98"/>
    <w:rsid w:val="00F62C1B"/>
    <w:rsid w:val="00F62F6D"/>
    <w:rsid w:val="00F63A6C"/>
    <w:rsid w:val="00F63E2E"/>
    <w:rsid w:val="00F6420A"/>
    <w:rsid w:val="00F6438B"/>
    <w:rsid w:val="00F6453E"/>
    <w:rsid w:val="00F646A3"/>
    <w:rsid w:val="00F65761"/>
    <w:rsid w:val="00F65A21"/>
    <w:rsid w:val="00F663E8"/>
    <w:rsid w:val="00F669A8"/>
    <w:rsid w:val="00F700E0"/>
    <w:rsid w:val="00F70BCF"/>
    <w:rsid w:val="00F70FB4"/>
    <w:rsid w:val="00F71A7E"/>
    <w:rsid w:val="00F71BDE"/>
    <w:rsid w:val="00F71E8E"/>
    <w:rsid w:val="00F728CD"/>
    <w:rsid w:val="00F72A4B"/>
    <w:rsid w:val="00F72E16"/>
    <w:rsid w:val="00F733BC"/>
    <w:rsid w:val="00F73B14"/>
    <w:rsid w:val="00F7432B"/>
    <w:rsid w:val="00F74695"/>
    <w:rsid w:val="00F74703"/>
    <w:rsid w:val="00F747A1"/>
    <w:rsid w:val="00F75500"/>
    <w:rsid w:val="00F757D5"/>
    <w:rsid w:val="00F75A21"/>
    <w:rsid w:val="00F75C66"/>
    <w:rsid w:val="00F75CC7"/>
    <w:rsid w:val="00F7682C"/>
    <w:rsid w:val="00F76914"/>
    <w:rsid w:val="00F76A44"/>
    <w:rsid w:val="00F76E51"/>
    <w:rsid w:val="00F76EC3"/>
    <w:rsid w:val="00F76EDE"/>
    <w:rsid w:val="00F77014"/>
    <w:rsid w:val="00F77673"/>
    <w:rsid w:val="00F77B0D"/>
    <w:rsid w:val="00F77BE3"/>
    <w:rsid w:val="00F77E9C"/>
    <w:rsid w:val="00F80EEC"/>
    <w:rsid w:val="00F80F2F"/>
    <w:rsid w:val="00F80F88"/>
    <w:rsid w:val="00F812F8"/>
    <w:rsid w:val="00F81964"/>
    <w:rsid w:val="00F821CF"/>
    <w:rsid w:val="00F82226"/>
    <w:rsid w:val="00F82E5D"/>
    <w:rsid w:val="00F83005"/>
    <w:rsid w:val="00F83667"/>
    <w:rsid w:val="00F83AAA"/>
    <w:rsid w:val="00F84133"/>
    <w:rsid w:val="00F84238"/>
    <w:rsid w:val="00F84265"/>
    <w:rsid w:val="00F8473E"/>
    <w:rsid w:val="00F84EB6"/>
    <w:rsid w:val="00F853CB"/>
    <w:rsid w:val="00F85D0F"/>
    <w:rsid w:val="00F861C5"/>
    <w:rsid w:val="00F872E8"/>
    <w:rsid w:val="00F87563"/>
    <w:rsid w:val="00F8776E"/>
    <w:rsid w:val="00F878AF"/>
    <w:rsid w:val="00F9027A"/>
    <w:rsid w:val="00F90866"/>
    <w:rsid w:val="00F90CCB"/>
    <w:rsid w:val="00F90CCF"/>
    <w:rsid w:val="00F90D05"/>
    <w:rsid w:val="00F914C5"/>
    <w:rsid w:val="00F91928"/>
    <w:rsid w:val="00F920DB"/>
    <w:rsid w:val="00F9238C"/>
    <w:rsid w:val="00F92626"/>
    <w:rsid w:val="00F926D2"/>
    <w:rsid w:val="00F92B6D"/>
    <w:rsid w:val="00F92BAC"/>
    <w:rsid w:val="00F92E3D"/>
    <w:rsid w:val="00F9310A"/>
    <w:rsid w:val="00F9372D"/>
    <w:rsid w:val="00F937C6"/>
    <w:rsid w:val="00F93BF3"/>
    <w:rsid w:val="00F93EC6"/>
    <w:rsid w:val="00F940B9"/>
    <w:rsid w:val="00F9430D"/>
    <w:rsid w:val="00F950BF"/>
    <w:rsid w:val="00F951A6"/>
    <w:rsid w:val="00F959F3"/>
    <w:rsid w:val="00F95CC0"/>
    <w:rsid w:val="00F9651E"/>
    <w:rsid w:val="00F96F1E"/>
    <w:rsid w:val="00F979D5"/>
    <w:rsid w:val="00F97D3A"/>
    <w:rsid w:val="00FA0004"/>
    <w:rsid w:val="00FA044A"/>
    <w:rsid w:val="00FA07C5"/>
    <w:rsid w:val="00FA07F2"/>
    <w:rsid w:val="00FA07F8"/>
    <w:rsid w:val="00FA0A3C"/>
    <w:rsid w:val="00FA0AC6"/>
    <w:rsid w:val="00FA0D58"/>
    <w:rsid w:val="00FA0DC3"/>
    <w:rsid w:val="00FA0F8B"/>
    <w:rsid w:val="00FA11F6"/>
    <w:rsid w:val="00FA192E"/>
    <w:rsid w:val="00FA1B01"/>
    <w:rsid w:val="00FA1DBA"/>
    <w:rsid w:val="00FA21B1"/>
    <w:rsid w:val="00FA27C6"/>
    <w:rsid w:val="00FA3033"/>
    <w:rsid w:val="00FA3238"/>
    <w:rsid w:val="00FA326E"/>
    <w:rsid w:val="00FA35A4"/>
    <w:rsid w:val="00FA3BBF"/>
    <w:rsid w:val="00FA48D5"/>
    <w:rsid w:val="00FA4D67"/>
    <w:rsid w:val="00FA506C"/>
    <w:rsid w:val="00FA50F7"/>
    <w:rsid w:val="00FA5647"/>
    <w:rsid w:val="00FA5908"/>
    <w:rsid w:val="00FA5ADF"/>
    <w:rsid w:val="00FA5C60"/>
    <w:rsid w:val="00FA5FDC"/>
    <w:rsid w:val="00FA610D"/>
    <w:rsid w:val="00FA6293"/>
    <w:rsid w:val="00FA6621"/>
    <w:rsid w:val="00FA668B"/>
    <w:rsid w:val="00FA70F7"/>
    <w:rsid w:val="00FA72A3"/>
    <w:rsid w:val="00FA73C0"/>
    <w:rsid w:val="00FA79C4"/>
    <w:rsid w:val="00FA7E19"/>
    <w:rsid w:val="00FA7E6F"/>
    <w:rsid w:val="00FB026B"/>
    <w:rsid w:val="00FB038F"/>
    <w:rsid w:val="00FB0A68"/>
    <w:rsid w:val="00FB0A6C"/>
    <w:rsid w:val="00FB15FD"/>
    <w:rsid w:val="00FB1B74"/>
    <w:rsid w:val="00FB1BD9"/>
    <w:rsid w:val="00FB1E51"/>
    <w:rsid w:val="00FB215C"/>
    <w:rsid w:val="00FB25AF"/>
    <w:rsid w:val="00FB2B3C"/>
    <w:rsid w:val="00FB2DE3"/>
    <w:rsid w:val="00FB2F12"/>
    <w:rsid w:val="00FB30A2"/>
    <w:rsid w:val="00FB3248"/>
    <w:rsid w:val="00FB37C4"/>
    <w:rsid w:val="00FB384F"/>
    <w:rsid w:val="00FB4146"/>
    <w:rsid w:val="00FB41DA"/>
    <w:rsid w:val="00FB42C6"/>
    <w:rsid w:val="00FB47E2"/>
    <w:rsid w:val="00FB4BF1"/>
    <w:rsid w:val="00FB56E2"/>
    <w:rsid w:val="00FB57CE"/>
    <w:rsid w:val="00FB5AC2"/>
    <w:rsid w:val="00FB69D0"/>
    <w:rsid w:val="00FB6C67"/>
    <w:rsid w:val="00FB6DFE"/>
    <w:rsid w:val="00FB7678"/>
    <w:rsid w:val="00FC00AA"/>
    <w:rsid w:val="00FC09B9"/>
    <w:rsid w:val="00FC0E56"/>
    <w:rsid w:val="00FC0FAB"/>
    <w:rsid w:val="00FC1755"/>
    <w:rsid w:val="00FC1B42"/>
    <w:rsid w:val="00FC20B6"/>
    <w:rsid w:val="00FC20D8"/>
    <w:rsid w:val="00FC25C4"/>
    <w:rsid w:val="00FC29E2"/>
    <w:rsid w:val="00FC2AAE"/>
    <w:rsid w:val="00FC3859"/>
    <w:rsid w:val="00FC39D0"/>
    <w:rsid w:val="00FC3F89"/>
    <w:rsid w:val="00FC4316"/>
    <w:rsid w:val="00FC46A1"/>
    <w:rsid w:val="00FC4886"/>
    <w:rsid w:val="00FC4F36"/>
    <w:rsid w:val="00FC4F91"/>
    <w:rsid w:val="00FC515F"/>
    <w:rsid w:val="00FC51D2"/>
    <w:rsid w:val="00FC5356"/>
    <w:rsid w:val="00FC599E"/>
    <w:rsid w:val="00FC5C52"/>
    <w:rsid w:val="00FC5F52"/>
    <w:rsid w:val="00FC5FC0"/>
    <w:rsid w:val="00FC63F5"/>
    <w:rsid w:val="00FC71B9"/>
    <w:rsid w:val="00FC7270"/>
    <w:rsid w:val="00FC78E6"/>
    <w:rsid w:val="00FC7CBF"/>
    <w:rsid w:val="00FC7DD1"/>
    <w:rsid w:val="00FD0159"/>
    <w:rsid w:val="00FD047D"/>
    <w:rsid w:val="00FD0703"/>
    <w:rsid w:val="00FD0935"/>
    <w:rsid w:val="00FD134B"/>
    <w:rsid w:val="00FD1C37"/>
    <w:rsid w:val="00FD28A8"/>
    <w:rsid w:val="00FD29C0"/>
    <w:rsid w:val="00FD2FFC"/>
    <w:rsid w:val="00FD3324"/>
    <w:rsid w:val="00FD3747"/>
    <w:rsid w:val="00FD3970"/>
    <w:rsid w:val="00FD3E35"/>
    <w:rsid w:val="00FD4091"/>
    <w:rsid w:val="00FD4911"/>
    <w:rsid w:val="00FD4D4E"/>
    <w:rsid w:val="00FD4E37"/>
    <w:rsid w:val="00FD4E95"/>
    <w:rsid w:val="00FD544A"/>
    <w:rsid w:val="00FD5452"/>
    <w:rsid w:val="00FD5866"/>
    <w:rsid w:val="00FD59D1"/>
    <w:rsid w:val="00FD59E5"/>
    <w:rsid w:val="00FD5A76"/>
    <w:rsid w:val="00FD5B87"/>
    <w:rsid w:val="00FD6043"/>
    <w:rsid w:val="00FD6163"/>
    <w:rsid w:val="00FD66E8"/>
    <w:rsid w:val="00FD6C3C"/>
    <w:rsid w:val="00FD7865"/>
    <w:rsid w:val="00FE0026"/>
    <w:rsid w:val="00FE059D"/>
    <w:rsid w:val="00FE0EDF"/>
    <w:rsid w:val="00FE10C7"/>
    <w:rsid w:val="00FE19B9"/>
    <w:rsid w:val="00FE2416"/>
    <w:rsid w:val="00FE26B0"/>
    <w:rsid w:val="00FE27D8"/>
    <w:rsid w:val="00FE2AA5"/>
    <w:rsid w:val="00FE2E29"/>
    <w:rsid w:val="00FE2FEC"/>
    <w:rsid w:val="00FE30DC"/>
    <w:rsid w:val="00FE3237"/>
    <w:rsid w:val="00FE39BC"/>
    <w:rsid w:val="00FE3A44"/>
    <w:rsid w:val="00FE50A2"/>
    <w:rsid w:val="00FE5328"/>
    <w:rsid w:val="00FE580C"/>
    <w:rsid w:val="00FE5954"/>
    <w:rsid w:val="00FE5D10"/>
    <w:rsid w:val="00FE6104"/>
    <w:rsid w:val="00FE6413"/>
    <w:rsid w:val="00FE655F"/>
    <w:rsid w:val="00FE6FB8"/>
    <w:rsid w:val="00FE7164"/>
    <w:rsid w:val="00FF04D4"/>
    <w:rsid w:val="00FF0DAD"/>
    <w:rsid w:val="00FF15B8"/>
    <w:rsid w:val="00FF1CC6"/>
    <w:rsid w:val="00FF2ED8"/>
    <w:rsid w:val="00FF382C"/>
    <w:rsid w:val="00FF3A76"/>
    <w:rsid w:val="00FF41CE"/>
    <w:rsid w:val="00FF427B"/>
    <w:rsid w:val="00FF4400"/>
    <w:rsid w:val="00FF44BC"/>
    <w:rsid w:val="00FF45BF"/>
    <w:rsid w:val="00FF4A81"/>
    <w:rsid w:val="00FF52CA"/>
    <w:rsid w:val="00FF53FD"/>
    <w:rsid w:val="00FF54F0"/>
    <w:rsid w:val="00FF575B"/>
    <w:rsid w:val="00FF5F81"/>
    <w:rsid w:val="00FF6148"/>
    <w:rsid w:val="00FF649F"/>
    <w:rsid w:val="00FF655E"/>
    <w:rsid w:val="00FF6578"/>
    <w:rsid w:val="00FF69B1"/>
    <w:rsid w:val="00FF6D3E"/>
    <w:rsid w:val="00FF7400"/>
    <w:rsid w:val="00FF750A"/>
    <w:rsid w:val="00FF7512"/>
    <w:rsid w:val="00FF7D8A"/>
    <w:rsid w:val="08372F9B"/>
    <w:rsid w:val="0BD75C09"/>
    <w:rsid w:val="0BFD1777"/>
    <w:rsid w:val="0F3F39F1"/>
    <w:rsid w:val="136F8F6E"/>
    <w:rsid w:val="176DA679"/>
    <w:rsid w:val="177D7544"/>
    <w:rsid w:val="17F46A8E"/>
    <w:rsid w:val="19DB4DA7"/>
    <w:rsid w:val="1A2BEE9C"/>
    <w:rsid w:val="1A9AA477"/>
    <w:rsid w:val="1CBAD2A4"/>
    <w:rsid w:val="1D2FDD39"/>
    <w:rsid w:val="1D7F5A57"/>
    <w:rsid w:val="1E86D678"/>
    <w:rsid w:val="1F7365DC"/>
    <w:rsid w:val="1F75E533"/>
    <w:rsid w:val="1FBF1374"/>
    <w:rsid w:val="1FCFF708"/>
    <w:rsid w:val="1FD7D7A3"/>
    <w:rsid w:val="1FE37C56"/>
    <w:rsid w:val="1FEB4FA8"/>
    <w:rsid w:val="1FF3665E"/>
    <w:rsid w:val="217F29E9"/>
    <w:rsid w:val="2350682D"/>
    <w:rsid w:val="25FB223C"/>
    <w:rsid w:val="26F846AE"/>
    <w:rsid w:val="273FB4CF"/>
    <w:rsid w:val="27CFAE54"/>
    <w:rsid w:val="27FF2A9E"/>
    <w:rsid w:val="2B3FD813"/>
    <w:rsid w:val="2BDE7BE6"/>
    <w:rsid w:val="2D7ED0E2"/>
    <w:rsid w:val="2E66ABC9"/>
    <w:rsid w:val="2E6F02E7"/>
    <w:rsid w:val="2E777DF6"/>
    <w:rsid w:val="2F7B7644"/>
    <w:rsid w:val="2FD530C5"/>
    <w:rsid w:val="2FD5624C"/>
    <w:rsid w:val="2FF70062"/>
    <w:rsid w:val="361507ED"/>
    <w:rsid w:val="36DF1011"/>
    <w:rsid w:val="371BA683"/>
    <w:rsid w:val="377CCD02"/>
    <w:rsid w:val="37BB9D2F"/>
    <w:rsid w:val="37F74B20"/>
    <w:rsid w:val="37FEA6CF"/>
    <w:rsid w:val="3A2FD0BE"/>
    <w:rsid w:val="3A47FEB4"/>
    <w:rsid w:val="3A734460"/>
    <w:rsid w:val="3A7B7DBA"/>
    <w:rsid w:val="3AD90F36"/>
    <w:rsid w:val="3ADE2078"/>
    <w:rsid w:val="3AF77D3F"/>
    <w:rsid w:val="3AFF52FC"/>
    <w:rsid w:val="3B29590A"/>
    <w:rsid w:val="3B7AC3E9"/>
    <w:rsid w:val="3BEDA516"/>
    <w:rsid w:val="3BFF5365"/>
    <w:rsid w:val="3D5F47C2"/>
    <w:rsid w:val="3D6B69D0"/>
    <w:rsid w:val="3DCFEA0F"/>
    <w:rsid w:val="3DF0325D"/>
    <w:rsid w:val="3DFF1C20"/>
    <w:rsid w:val="3DFF4951"/>
    <w:rsid w:val="3E3E77A5"/>
    <w:rsid w:val="3E5D62C7"/>
    <w:rsid w:val="3E67C558"/>
    <w:rsid w:val="3E77E9EC"/>
    <w:rsid w:val="3EAF393C"/>
    <w:rsid w:val="3EB94D38"/>
    <w:rsid w:val="3ED1D0C3"/>
    <w:rsid w:val="3EFF9709"/>
    <w:rsid w:val="3F238EDD"/>
    <w:rsid w:val="3F279627"/>
    <w:rsid w:val="3F2F90C9"/>
    <w:rsid w:val="3F57938A"/>
    <w:rsid w:val="3F6EBB2A"/>
    <w:rsid w:val="3F77091B"/>
    <w:rsid w:val="3F7D6BDB"/>
    <w:rsid w:val="3F7F972C"/>
    <w:rsid w:val="3F7FAF26"/>
    <w:rsid w:val="3FA892B8"/>
    <w:rsid w:val="3FAAABB9"/>
    <w:rsid w:val="3FAF4527"/>
    <w:rsid w:val="3FBEED93"/>
    <w:rsid w:val="3FBF7DDD"/>
    <w:rsid w:val="3FDD9003"/>
    <w:rsid w:val="3FEB0FF0"/>
    <w:rsid w:val="3FEF6870"/>
    <w:rsid w:val="3FF4F648"/>
    <w:rsid w:val="3FF7CD12"/>
    <w:rsid w:val="3FFC3A84"/>
    <w:rsid w:val="3FFD3325"/>
    <w:rsid w:val="3FFF84F1"/>
    <w:rsid w:val="3FFFB94E"/>
    <w:rsid w:val="43BF3F61"/>
    <w:rsid w:val="44FF0C7A"/>
    <w:rsid w:val="4535BE8C"/>
    <w:rsid w:val="45DFF3AC"/>
    <w:rsid w:val="45E98EFF"/>
    <w:rsid w:val="475BDEE1"/>
    <w:rsid w:val="4777AE06"/>
    <w:rsid w:val="47AFCC18"/>
    <w:rsid w:val="47FF29B4"/>
    <w:rsid w:val="491842AA"/>
    <w:rsid w:val="4AFD0726"/>
    <w:rsid w:val="4B3E4B86"/>
    <w:rsid w:val="4B9FE70F"/>
    <w:rsid w:val="4CBFC0EA"/>
    <w:rsid w:val="4CFFC186"/>
    <w:rsid w:val="4D33A13A"/>
    <w:rsid w:val="4D95EC3C"/>
    <w:rsid w:val="4DBF3989"/>
    <w:rsid w:val="4E7527FD"/>
    <w:rsid w:val="4ECB1FD5"/>
    <w:rsid w:val="4ED790D8"/>
    <w:rsid w:val="4EF33D7D"/>
    <w:rsid w:val="4F67DB79"/>
    <w:rsid w:val="4F6FF1CE"/>
    <w:rsid w:val="52FFFA20"/>
    <w:rsid w:val="5379EB8B"/>
    <w:rsid w:val="539F4381"/>
    <w:rsid w:val="53FB6A57"/>
    <w:rsid w:val="553ECAD2"/>
    <w:rsid w:val="55DFD8D0"/>
    <w:rsid w:val="55E79D50"/>
    <w:rsid w:val="55ED1992"/>
    <w:rsid w:val="55FF6090"/>
    <w:rsid w:val="56959C40"/>
    <w:rsid w:val="56FFD05A"/>
    <w:rsid w:val="5739D7BE"/>
    <w:rsid w:val="579BBD92"/>
    <w:rsid w:val="57E7CC51"/>
    <w:rsid w:val="57F7CEB0"/>
    <w:rsid w:val="594B821E"/>
    <w:rsid w:val="59877B6A"/>
    <w:rsid w:val="59F6B0D8"/>
    <w:rsid w:val="5ABDDC67"/>
    <w:rsid w:val="5AFE0252"/>
    <w:rsid w:val="5CAFF2E2"/>
    <w:rsid w:val="5CFB0487"/>
    <w:rsid w:val="5D7AD143"/>
    <w:rsid w:val="5D8871C4"/>
    <w:rsid w:val="5DDEF1A1"/>
    <w:rsid w:val="5DF37EFA"/>
    <w:rsid w:val="5DFF9DB5"/>
    <w:rsid w:val="5E73ADAA"/>
    <w:rsid w:val="5E7D60EC"/>
    <w:rsid w:val="5E918544"/>
    <w:rsid w:val="5EDEB950"/>
    <w:rsid w:val="5EF9D558"/>
    <w:rsid w:val="5EFBC95C"/>
    <w:rsid w:val="5EFE2348"/>
    <w:rsid w:val="5EFF9166"/>
    <w:rsid w:val="5F1F90BA"/>
    <w:rsid w:val="5F25DE90"/>
    <w:rsid w:val="5F66E89E"/>
    <w:rsid w:val="5F7E7A11"/>
    <w:rsid w:val="5F7E96CE"/>
    <w:rsid w:val="5F7FD2AC"/>
    <w:rsid w:val="5F8F5F89"/>
    <w:rsid w:val="5FBFACED"/>
    <w:rsid w:val="5FCAF082"/>
    <w:rsid w:val="5FD79E89"/>
    <w:rsid w:val="5FDB13AA"/>
    <w:rsid w:val="5FDB9734"/>
    <w:rsid w:val="5FDF3A37"/>
    <w:rsid w:val="5FDF6FF1"/>
    <w:rsid w:val="5FF7B9F0"/>
    <w:rsid w:val="5FF9B1E9"/>
    <w:rsid w:val="5FFAC00C"/>
    <w:rsid w:val="5FFBC26D"/>
    <w:rsid w:val="5FFF34C6"/>
    <w:rsid w:val="5FFFAEC3"/>
    <w:rsid w:val="66BF9A53"/>
    <w:rsid w:val="66EEC382"/>
    <w:rsid w:val="67239EAB"/>
    <w:rsid w:val="67DD3F15"/>
    <w:rsid w:val="67DE921C"/>
    <w:rsid w:val="67ED10DA"/>
    <w:rsid w:val="67F63590"/>
    <w:rsid w:val="67FB9936"/>
    <w:rsid w:val="67FBB623"/>
    <w:rsid w:val="69EBE634"/>
    <w:rsid w:val="69F506F7"/>
    <w:rsid w:val="6A7B5C23"/>
    <w:rsid w:val="6AC84296"/>
    <w:rsid w:val="6B2F7CA6"/>
    <w:rsid w:val="6B637707"/>
    <w:rsid w:val="6BA7B4E3"/>
    <w:rsid w:val="6BED2450"/>
    <w:rsid w:val="6BF78E70"/>
    <w:rsid w:val="6BF7B245"/>
    <w:rsid w:val="6DB35043"/>
    <w:rsid w:val="6DBE8925"/>
    <w:rsid w:val="6DCF9F70"/>
    <w:rsid w:val="6E4964E9"/>
    <w:rsid w:val="6EFBAFDB"/>
    <w:rsid w:val="6EFDC5FD"/>
    <w:rsid w:val="6EFF4EC1"/>
    <w:rsid w:val="6F1F015F"/>
    <w:rsid w:val="6F2FCA3B"/>
    <w:rsid w:val="6F4FF2F7"/>
    <w:rsid w:val="6F6ECBB4"/>
    <w:rsid w:val="6F9EC698"/>
    <w:rsid w:val="6FB32A6B"/>
    <w:rsid w:val="6FB7DCE1"/>
    <w:rsid w:val="6FBB3D28"/>
    <w:rsid w:val="6FE7902A"/>
    <w:rsid w:val="6FF58BEF"/>
    <w:rsid w:val="6FF6177E"/>
    <w:rsid w:val="6FF7493D"/>
    <w:rsid w:val="6FFD10CB"/>
    <w:rsid w:val="6FFE2DCA"/>
    <w:rsid w:val="6FFFFC63"/>
    <w:rsid w:val="714D9399"/>
    <w:rsid w:val="7157AEAE"/>
    <w:rsid w:val="7165CE17"/>
    <w:rsid w:val="71ED1995"/>
    <w:rsid w:val="71F28A80"/>
    <w:rsid w:val="72FEA37A"/>
    <w:rsid w:val="736D625C"/>
    <w:rsid w:val="739FF7B6"/>
    <w:rsid w:val="73B73E34"/>
    <w:rsid w:val="73DF03E6"/>
    <w:rsid w:val="748FA548"/>
    <w:rsid w:val="749F8D0A"/>
    <w:rsid w:val="74F8E425"/>
    <w:rsid w:val="75AFEBA1"/>
    <w:rsid w:val="75B257A5"/>
    <w:rsid w:val="75BFFC3F"/>
    <w:rsid w:val="75EDA20F"/>
    <w:rsid w:val="75EF6586"/>
    <w:rsid w:val="75F1933C"/>
    <w:rsid w:val="76F7593B"/>
    <w:rsid w:val="76FE168D"/>
    <w:rsid w:val="773E86EE"/>
    <w:rsid w:val="777741C3"/>
    <w:rsid w:val="777CB028"/>
    <w:rsid w:val="777D8661"/>
    <w:rsid w:val="779BB60F"/>
    <w:rsid w:val="77A7EF99"/>
    <w:rsid w:val="77BA1544"/>
    <w:rsid w:val="77BE6852"/>
    <w:rsid w:val="77DE852E"/>
    <w:rsid w:val="77F3C0A7"/>
    <w:rsid w:val="77F534FE"/>
    <w:rsid w:val="77F7B2FF"/>
    <w:rsid w:val="77F943EE"/>
    <w:rsid w:val="77F95F39"/>
    <w:rsid w:val="77FE82B3"/>
    <w:rsid w:val="77FF019E"/>
    <w:rsid w:val="77FF4214"/>
    <w:rsid w:val="77FF8DBA"/>
    <w:rsid w:val="78FBE92A"/>
    <w:rsid w:val="78FFEC9F"/>
    <w:rsid w:val="797FC336"/>
    <w:rsid w:val="799D2A07"/>
    <w:rsid w:val="79EF6DC5"/>
    <w:rsid w:val="79F4A9E2"/>
    <w:rsid w:val="79FE1157"/>
    <w:rsid w:val="7A7BEC46"/>
    <w:rsid w:val="7A7F8AC3"/>
    <w:rsid w:val="7A8F9D60"/>
    <w:rsid w:val="7AA9C188"/>
    <w:rsid w:val="7ACEE07A"/>
    <w:rsid w:val="7AF39DD1"/>
    <w:rsid w:val="7AF78358"/>
    <w:rsid w:val="7AFFFD5F"/>
    <w:rsid w:val="7AFFFDF0"/>
    <w:rsid w:val="7B949980"/>
    <w:rsid w:val="7BB3FDB6"/>
    <w:rsid w:val="7BB70B74"/>
    <w:rsid w:val="7BBD00AB"/>
    <w:rsid w:val="7BBF9F06"/>
    <w:rsid w:val="7BDD060C"/>
    <w:rsid w:val="7BEFF8EC"/>
    <w:rsid w:val="7BF62C1D"/>
    <w:rsid w:val="7BF7B593"/>
    <w:rsid w:val="7BF7CCC2"/>
    <w:rsid w:val="7C7B46C3"/>
    <w:rsid w:val="7C9F3339"/>
    <w:rsid w:val="7CCFFB21"/>
    <w:rsid w:val="7CE77A19"/>
    <w:rsid w:val="7CFF1B10"/>
    <w:rsid w:val="7CFFC116"/>
    <w:rsid w:val="7D3BEF96"/>
    <w:rsid w:val="7D3EE330"/>
    <w:rsid w:val="7D5F209E"/>
    <w:rsid w:val="7D6FA5B6"/>
    <w:rsid w:val="7D7733F3"/>
    <w:rsid w:val="7D773A43"/>
    <w:rsid w:val="7D7B4E7E"/>
    <w:rsid w:val="7D7BFC65"/>
    <w:rsid w:val="7DBD7D85"/>
    <w:rsid w:val="7DBE59BC"/>
    <w:rsid w:val="7DDF3FA1"/>
    <w:rsid w:val="7DDF8D21"/>
    <w:rsid w:val="7DEFBDA3"/>
    <w:rsid w:val="7DF52078"/>
    <w:rsid w:val="7DFD517E"/>
    <w:rsid w:val="7DFFDEE4"/>
    <w:rsid w:val="7E6FD5D9"/>
    <w:rsid w:val="7E76992A"/>
    <w:rsid w:val="7E7C44F4"/>
    <w:rsid w:val="7E873623"/>
    <w:rsid w:val="7EABEB74"/>
    <w:rsid w:val="7EC77FA1"/>
    <w:rsid w:val="7ED1715E"/>
    <w:rsid w:val="7EE79A54"/>
    <w:rsid w:val="7EED2DAF"/>
    <w:rsid w:val="7EED3644"/>
    <w:rsid w:val="7EF1D8B9"/>
    <w:rsid w:val="7EFD4DAE"/>
    <w:rsid w:val="7EFDA61F"/>
    <w:rsid w:val="7EFDAE45"/>
    <w:rsid w:val="7EFF05CE"/>
    <w:rsid w:val="7F2F504B"/>
    <w:rsid w:val="7F351D49"/>
    <w:rsid w:val="7F4E6DBF"/>
    <w:rsid w:val="7F5A6E48"/>
    <w:rsid w:val="7F5B9FCC"/>
    <w:rsid w:val="7F5CE960"/>
    <w:rsid w:val="7F5D25AC"/>
    <w:rsid w:val="7F63F901"/>
    <w:rsid w:val="7F6F14FE"/>
    <w:rsid w:val="7F770027"/>
    <w:rsid w:val="7F7F206D"/>
    <w:rsid w:val="7F7F6D0A"/>
    <w:rsid w:val="7F7F8729"/>
    <w:rsid w:val="7F9FFBFC"/>
    <w:rsid w:val="7FBB6534"/>
    <w:rsid w:val="7FBFBEC9"/>
    <w:rsid w:val="7FBFC105"/>
    <w:rsid w:val="7FBFD420"/>
    <w:rsid w:val="7FC72083"/>
    <w:rsid w:val="7FD937C0"/>
    <w:rsid w:val="7FDE7B02"/>
    <w:rsid w:val="7FDF44F0"/>
    <w:rsid w:val="7FDFB225"/>
    <w:rsid w:val="7FEAB046"/>
    <w:rsid w:val="7FEDEAAD"/>
    <w:rsid w:val="7FEEE535"/>
    <w:rsid w:val="7FF7FBDA"/>
    <w:rsid w:val="7FFAC481"/>
    <w:rsid w:val="7FFB4AFF"/>
    <w:rsid w:val="7FFBBC13"/>
    <w:rsid w:val="7FFD880C"/>
    <w:rsid w:val="7FFED246"/>
    <w:rsid w:val="7FFEECFD"/>
    <w:rsid w:val="7FFF51F6"/>
    <w:rsid w:val="7FFF5D03"/>
    <w:rsid w:val="7FFF64CF"/>
    <w:rsid w:val="7FFF68D8"/>
    <w:rsid w:val="7FFF8383"/>
    <w:rsid w:val="83C9BE5B"/>
    <w:rsid w:val="8FCB6468"/>
    <w:rsid w:val="9355E527"/>
    <w:rsid w:val="939B869D"/>
    <w:rsid w:val="93B98F5B"/>
    <w:rsid w:val="9776F15C"/>
    <w:rsid w:val="97EB4A32"/>
    <w:rsid w:val="9B6FDE51"/>
    <w:rsid w:val="9D5FCA02"/>
    <w:rsid w:val="9DFFD166"/>
    <w:rsid w:val="9EE6B5E3"/>
    <w:rsid w:val="9EEFAEC8"/>
    <w:rsid w:val="9F3DABB8"/>
    <w:rsid w:val="9FFD7625"/>
    <w:rsid w:val="9FFDD2ED"/>
    <w:rsid w:val="A26F3374"/>
    <w:rsid w:val="A3EFB3D2"/>
    <w:rsid w:val="A7FFDA49"/>
    <w:rsid w:val="A87DE8C5"/>
    <w:rsid w:val="A9EDD66D"/>
    <w:rsid w:val="AAF75AA1"/>
    <w:rsid w:val="AB7FF002"/>
    <w:rsid w:val="ABADFD3D"/>
    <w:rsid w:val="ABBE492B"/>
    <w:rsid w:val="ADCD0CE6"/>
    <w:rsid w:val="AEBF67B7"/>
    <w:rsid w:val="AF96420A"/>
    <w:rsid w:val="AFBD9E4A"/>
    <w:rsid w:val="AFCD5934"/>
    <w:rsid w:val="AFDE1139"/>
    <w:rsid w:val="B2575EE4"/>
    <w:rsid w:val="B317C9C8"/>
    <w:rsid w:val="B37D2D21"/>
    <w:rsid w:val="B3EFCD43"/>
    <w:rsid w:val="B57FC329"/>
    <w:rsid w:val="B5FFC28C"/>
    <w:rsid w:val="B67FCF5E"/>
    <w:rsid w:val="B76233C2"/>
    <w:rsid w:val="B79FFDC4"/>
    <w:rsid w:val="B7F5EFF6"/>
    <w:rsid w:val="B7F7046D"/>
    <w:rsid w:val="B7FBD2A3"/>
    <w:rsid w:val="B8BE1742"/>
    <w:rsid w:val="B8D5441E"/>
    <w:rsid w:val="BA7ED778"/>
    <w:rsid w:val="BABF006D"/>
    <w:rsid w:val="BAEB8EAE"/>
    <w:rsid w:val="BAFBF184"/>
    <w:rsid w:val="BAFF513B"/>
    <w:rsid w:val="BB5FCB06"/>
    <w:rsid w:val="BB77735D"/>
    <w:rsid w:val="BBE7CC90"/>
    <w:rsid w:val="BBEF0E0A"/>
    <w:rsid w:val="BBF692F6"/>
    <w:rsid w:val="BBF919C0"/>
    <w:rsid w:val="BBFF0D45"/>
    <w:rsid w:val="BCF706F4"/>
    <w:rsid w:val="BD3F8619"/>
    <w:rsid w:val="BD9F665A"/>
    <w:rsid w:val="BDDF374D"/>
    <w:rsid w:val="BDDF9B4A"/>
    <w:rsid w:val="BDFE00CA"/>
    <w:rsid w:val="BE3E3D2C"/>
    <w:rsid w:val="BE4E571B"/>
    <w:rsid w:val="BEE99F97"/>
    <w:rsid w:val="BEEE4903"/>
    <w:rsid w:val="BEF7060A"/>
    <w:rsid w:val="BF33B353"/>
    <w:rsid w:val="BF5B01AE"/>
    <w:rsid w:val="BF5EE973"/>
    <w:rsid w:val="BF7F71EE"/>
    <w:rsid w:val="BF8FDF34"/>
    <w:rsid w:val="BFB765A5"/>
    <w:rsid w:val="BFBD0276"/>
    <w:rsid w:val="BFC70119"/>
    <w:rsid w:val="BFCF7A45"/>
    <w:rsid w:val="BFDB2A45"/>
    <w:rsid w:val="BFDF0B2D"/>
    <w:rsid w:val="BFE829AE"/>
    <w:rsid w:val="BFF9EEFE"/>
    <w:rsid w:val="BFFF32DD"/>
    <w:rsid w:val="BFFF3BB0"/>
    <w:rsid w:val="BFFF84E7"/>
    <w:rsid w:val="C4FDD01A"/>
    <w:rsid w:val="C5EF96B2"/>
    <w:rsid w:val="C79D5CA3"/>
    <w:rsid w:val="C9F52425"/>
    <w:rsid w:val="CA7C0648"/>
    <w:rsid w:val="CBAFA264"/>
    <w:rsid w:val="CDFB493F"/>
    <w:rsid w:val="CE6FFC97"/>
    <w:rsid w:val="CEBB0515"/>
    <w:rsid w:val="CEED0F97"/>
    <w:rsid w:val="CEFF6A10"/>
    <w:rsid w:val="CFBCFC84"/>
    <w:rsid w:val="CFBECB33"/>
    <w:rsid w:val="CFDDD057"/>
    <w:rsid w:val="CFE93757"/>
    <w:rsid w:val="CFF69181"/>
    <w:rsid w:val="CFFFD564"/>
    <w:rsid w:val="D29B4FCB"/>
    <w:rsid w:val="D3F4DE91"/>
    <w:rsid w:val="D515F620"/>
    <w:rsid w:val="D5FE06E1"/>
    <w:rsid w:val="D6DBB122"/>
    <w:rsid w:val="D73FF749"/>
    <w:rsid w:val="D75EE7FF"/>
    <w:rsid w:val="D77E36FE"/>
    <w:rsid w:val="D77FB40E"/>
    <w:rsid w:val="D7B9E899"/>
    <w:rsid w:val="D7D3FA31"/>
    <w:rsid w:val="D7FBB13B"/>
    <w:rsid w:val="D8AFD62E"/>
    <w:rsid w:val="D95DBC89"/>
    <w:rsid w:val="DAA3CE2D"/>
    <w:rsid w:val="DAFF92EB"/>
    <w:rsid w:val="DBB9D09E"/>
    <w:rsid w:val="DBBBCA43"/>
    <w:rsid w:val="DBF39316"/>
    <w:rsid w:val="DBFE1463"/>
    <w:rsid w:val="DC5F2D3C"/>
    <w:rsid w:val="DD978FFE"/>
    <w:rsid w:val="DDFB21FE"/>
    <w:rsid w:val="DE6FA76D"/>
    <w:rsid w:val="DED10451"/>
    <w:rsid w:val="DED72D3C"/>
    <w:rsid w:val="DEF609ED"/>
    <w:rsid w:val="DEFD9190"/>
    <w:rsid w:val="DEFDE289"/>
    <w:rsid w:val="DF8F1452"/>
    <w:rsid w:val="DFBEA53D"/>
    <w:rsid w:val="DFBEBCCC"/>
    <w:rsid w:val="DFC8DD9E"/>
    <w:rsid w:val="DFEBB9F1"/>
    <w:rsid w:val="DFFBEE6C"/>
    <w:rsid w:val="DFFD4232"/>
    <w:rsid w:val="DFFEC742"/>
    <w:rsid w:val="DFFF113C"/>
    <w:rsid w:val="DFFF158A"/>
    <w:rsid w:val="DFFFC3D2"/>
    <w:rsid w:val="E1D32CCE"/>
    <w:rsid w:val="E1E56390"/>
    <w:rsid w:val="E1FE6F00"/>
    <w:rsid w:val="E2374274"/>
    <w:rsid w:val="E3ED43CC"/>
    <w:rsid w:val="E5735B1A"/>
    <w:rsid w:val="E5B09679"/>
    <w:rsid w:val="E5DE0A45"/>
    <w:rsid w:val="E6BA121E"/>
    <w:rsid w:val="E7AE6744"/>
    <w:rsid w:val="E7EF89F1"/>
    <w:rsid w:val="E7F49AC4"/>
    <w:rsid w:val="E9FD8A00"/>
    <w:rsid w:val="EB7B0133"/>
    <w:rsid w:val="EBBFD4C4"/>
    <w:rsid w:val="EBFDFF2A"/>
    <w:rsid w:val="EBFE7D81"/>
    <w:rsid w:val="EBFFA9E9"/>
    <w:rsid w:val="EC2EC08C"/>
    <w:rsid w:val="ECABF84E"/>
    <w:rsid w:val="ED7B78CA"/>
    <w:rsid w:val="EDCF1FEE"/>
    <w:rsid w:val="EDD8373F"/>
    <w:rsid w:val="EDF700D9"/>
    <w:rsid w:val="EE215EAC"/>
    <w:rsid w:val="EE3FEE1E"/>
    <w:rsid w:val="EE74F4A8"/>
    <w:rsid w:val="EEB79B19"/>
    <w:rsid w:val="EEBB0B0A"/>
    <w:rsid w:val="EEDF05D1"/>
    <w:rsid w:val="EEFE5DB4"/>
    <w:rsid w:val="EF3656DB"/>
    <w:rsid w:val="EF6F322C"/>
    <w:rsid w:val="EF7D21C0"/>
    <w:rsid w:val="EF904157"/>
    <w:rsid w:val="EFAD2640"/>
    <w:rsid w:val="EFAF9F86"/>
    <w:rsid w:val="EFB72712"/>
    <w:rsid w:val="EFBEAC23"/>
    <w:rsid w:val="EFBF0D84"/>
    <w:rsid w:val="EFD3CCFD"/>
    <w:rsid w:val="EFF387A1"/>
    <w:rsid w:val="EFFE6C52"/>
    <w:rsid w:val="F0FF9530"/>
    <w:rsid w:val="F1773309"/>
    <w:rsid w:val="F1FF9856"/>
    <w:rsid w:val="F1FFBE0A"/>
    <w:rsid w:val="F24F5D36"/>
    <w:rsid w:val="F27F294F"/>
    <w:rsid w:val="F3C75E5C"/>
    <w:rsid w:val="F47B2E41"/>
    <w:rsid w:val="F4F7B792"/>
    <w:rsid w:val="F4FDEA2E"/>
    <w:rsid w:val="F5561780"/>
    <w:rsid w:val="F5EF2B1B"/>
    <w:rsid w:val="F5EFB12C"/>
    <w:rsid w:val="F5F6B902"/>
    <w:rsid w:val="F5FEC612"/>
    <w:rsid w:val="F68E57D3"/>
    <w:rsid w:val="F6B7B9B0"/>
    <w:rsid w:val="F6EB23E8"/>
    <w:rsid w:val="F7275A34"/>
    <w:rsid w:val="F7375EC9"/>
    <w:rsid w:val="F76F1ABD"/>
    <w:rsid w:val="F77B695A"/>
    <w:rsid w:val="F77DB143"/>
    <w:rsid w:val="F77FB8A0"/>
    <w:rsid w:val="F7B20B67"/>
    <w:rsid w:val="F7DA93ED"/>
    <w:rsid w:val="F7DEBD47"/>
    <w:rsid w:val="F7EBDFEF"/>
    <w:rsid w:val="F7F50D81"/>
    <w:rsid w:val="F7FBF2F6"/>
    <w:rsid w:val="F7FF741B"/>
    <w:rsid w:val="F7FFCEDB"/>
    <w:rsid w:val="F8B14B4D"/>
    <w:rsid w:val="F8BEED6A"/>
    <w:rsid w:val="F8FF2B94"/>
    <w:rsid w:val="F9B0F9BB"/>
    <w:rsid w:val="F9DCC4BE"/>
    <w:rsid w:val="F9DEA425"/>
    <w:rsid w:val="F9DFA3F9"/>
    <w:rsid w:val="F9F77AF7"/>
    <w:rsid w:val="F9FF74B7"/>
    <w:rsid w:val="FA5700A9"/>
    <w:rsid w:val="FA5B2C70"/>
    <w:rsid w:val="FA7726F4"/>
    <w:rsid w:val="FAAD8EBE"/>
    <w:rsid w:val="FADCE837"/>
    <w:rsid w:val="FAEFB37A"/>
    <w:rsid w:val="FAFE78B3"/>
    <w:rsid w:val="FAFF92A8"/>
    <w:rsid w:val="FB1BBA07"/>
    <w:rsid w:val="FB39BED5"/>
    <w:rsid w:val="FB7F999B"/>
    <w:rsid w:val="FB9F4A84"/>
    <w:rsid w:val="FBA560C8"/>
    <w:rsid w:val="FBAF3781"/>
    <w:rsid w:val="FBB337C4"/>
    <w:rsid w:val="FBB781B6"/>
    <w:rsid w:val="FBBEE208"/>
    <w:rsid w:val="FBBF5488"/>
    <w:rsid w:val="FBBF557A"/>
    <w:rsid w:val="FBBF9C56"/>
    <w:rsid w:val="FBC3FE98"/>
    <w:rsid w:val="FBD6E7CD"/>
    <w:rsid w:val="FBD75FB0"/>
    <w:rsid w:val="FBF15EF0"/>
    <w:rsid w:val="FBFD81AF"/>
    <w:rsid w:val="FBFDCF2D"/>
    <w:rsid w:val="FBFF41D7"/>
    <w:rsid w:val="FC3BA0CB"/>
    <w:rsid w:val="FCF35460"/>
    <w:rsid w:val="FD142311"/>
    <w:rsid w:val="FD3FE415"/>
    <w:rsid w:val="FD5F06F9"/>
    <w:rsid w:val="FD9B12AA"/>
    <w:rsid w:val="FD9FDC94"/>
    <w:rsid w:val="FDABD708"/>
    <w:rsid w:val="FDBCB803"/>
    <w:rsid w:val="FDBEA70D"/>
    <w:rsid w:val="FDDE4A0E"/>
    <w:rsid w:val="FDE51945"/>
    <w:rsid w:val="FDE93359"/>
    <w:rsid w:val="FDEED453"/>
    <w:rsid w:val="FDF5555D"/>
    <w:rsid w:val="FDF63A9D"/>
    <w:rsid w:val="FDF7D992"/>
    <w:rsid w:val="FDFB0EB7"/>
    <w:rsid w:val="FDFE2D4F"/>
    <w:rsid w:val="FDFF9FC4"/>
    <w:rsid w:val="FE2F3101"/>
    <w:rsid w:val="FE419A4A"/>
    <w:rsid w:val="FE5F8377"/>
    <w:rsid w:val="FE6D70A0"/>
    <w:rsid w:val="FE7B615C"/>
    <w:rsid w:val="FE7F38FF"/>
    <w:rsid w:val="FEAFAE35"/>
    <w:rsid w:val="FEB56836"/>
    <w:rsid w:val="FEB5955A"/>
    <w:rsid w:val="FEBF27D8"/>
    <w:rsid w:val="FEBF8FB3"/>
    <w:rsid w:val="FEBFF983"/>
    <w:rsid w:val="FED71706"/>
    <w:rsid w:val="FEDDD780"/>
    <w:rsid w:val="FEEE18B7"/>
    <w:rsid w:val="FEEEFB2B"/>
    <w:rsid w:val="FEF7F332"/>
    <w:rsid w:val="FEFE0CCF"/>
    <w:rsid w:val="FEFF3C45"/>
    <w:rsid w:val="FEFFF492"/>
    <w:rsid w:val="FF15F5B8"/>
    <w:rsid w:val="FF1DB8DE"/>
    <w:rsid w:val="FF1F4DCB"/>
    <w:rsid w:val="FF3E8839"/>
    <w:rsid w:val="FF485EC5"/>
    <w:rsid w:val="FF5B2ACA"/>
    <w:rsid w:val="FF5F64F7"/>
    <w:rsid w:val="FF6F2F74"/>
    <w:rsid w:val="FF7CC142"/>
    <w:rsid w:val="FF7FE002"/>
    <w:rsid w:val="FF850BCC"/>
    <w:rsid w:val="FF896151"/>
    <w:rsid w:val="FF8B814B"/>
    <w:rsid w:val="FFA1BF63"/>
    <w:rsid w:val="FFAD7C3A"/>
    <w:rsid w:val="FFB0F8C8"/>
    <w:rsid w:val="FFBAF3DF"/>
    <w:rsid w:val="FFBE40B7"/>
    <w:rsid w:val="FFBEE289"/>
    <w:rsid w:val="FFCFDCED"/>
    <w:rsid w:val="FFD66429"/>
    <w:rsid w:val="FFE326D9"/>
    <w:rsid w:val="FFEF345C"/>
    <w:rsid w:val="FFEF6D65"/>
    <w:rsid w:val="FFF15C8A"/>
    <w:rsid w:val="FFF6E5C8"/>
    <w:rsid w:val="FFF7ACEC"/>
    <w:rsid w:val="FFFB3A91"/>
    <w:rsid w:val="FFFBAC67"/>
    <w:rsid w:val="FFFBD348"/>
    <w:rsid w:val="FFFBEA7A"/>
    <w:rsid w:val="FFFBFD5C"/>
    <w:rsid w:val="FFFD84A5"/>
    <w:rsid w:val="FFFE2903"/>
    <w:rsid w:val="FFFE6328"/>
    <w:rsid w:val="FFFEDE45"/>
    <w:rsid w:val="FFFF145A"/>
    <w:rsid w:val="FFFF2670"/>
    <w:rsid w:val="FFFF3ABE"/>
    <w:rsid w:val="FFFF9B01"/>
    <w:rsid w:val="FFFFB823"/>
    <w:rsid w:val="FFFFE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qFormat="1" w:uiPriority="99" w:semiHidden="0"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80" w:lineRule="exact"/>
      <w:ind w:firstLine="880" w:firstLineChars="200"/>
      <w:jc w:val="both"/>
    </w:pPr>
    <w:rPr>
      <w:rFonts w:ascii="Times New Roman" w:hAnsi="Times New Roman" w:eastAsia="仿宋" w:cs="Times New Roman"/>
      <w:kern w:val="2"/>
      <w:sz w:val="32"/>
      <w:szCs w:val="22"/>
      <w:lang w:val="en-US" w:eastAsia="zh-CN" w:bidi="ar-SA"/>
    </w:rPr>
  </w:style>
  <w:style w:type="paragraph" w:styleId="4">
    <w:name w:val="heading 1"/>
    <w:basedOn w:val="1"/>
    <w:next w:val="1"/>
    <w:link w:val="27"/>
    <w:qFormat/>
    <w:uiPriority w:val="9"/>
    <w:pPr>
      <w:keepNext/>
      <w:keepLines/>
      <w:spacing w:line="600" w:lineRule="exact"/>
      <w:jc w:val="center"/>
      <w:outlineLvl w:val="0"/>
    </w:pPr>
    <w:rPr>
      <w:rFonts w:eastAsia="黑体"/>
      <w:bCs/>
      <w:kern w:val="44"/>
      <w:szCs w:val="32"/>
    </w:rPr>
  </w:style>
  <w:style w:type="paragraph" w:styleId="5">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6">
    <w:name w:val="heading 3"/>
    <w:basedOn w:val="1"/>
    <w:next w:val="1"/>
    <w:link w:val="29"/>
    <w:unhideWhenUsed/>
    <w:qFormat/>
    <w:uiPriority w:val="9"/>
    <w:pPr>
      <w:keepNext/>
      <w:keepLines/>
      <w:spacing w:before="140" w:after="140" w:line="415" w:lineRule="auto"/>
      <w:outlineLvl w:val="2"/>
    </w:pPr>
    <w:rPr>
      <w:rFonts w:asciiTheme="minorHAnsi" w:hAnsiTheme="minorHAnsi" w:eastAsiaTheme="minorEastAsia" w:cstheme="minorBidi"/>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unhideWhenUsed/>
    <w:qFormat/>
    <w:uiPriority w:val="99"/>
    <w:rPr>
      <w:rFonts w:ascii="Arial" w:hAnsi="Arial"/>
      <w:b/>
    </w:rPr>
  </w:style>
  <w:style w:type="paragraph" w:styleId="3">
    <w:name w:val="index 1"/>
    <w:basedOn w:val="1"/>
    <w:next w:val="1"/>
    <w:unhideWhenUsed/>
    <w:qFormat/>
    <w:uiPriority w:val="99"/>
  </w:style>
  <w:style w:type="paragraph" w:styleId="7">
    <w:name w:val="annotation text"/>
    <w:basedOn w:val="1"/>
    <w:link w:val="36"/>
    <w:unhideWhenUsed/>
    <w:qFormat/>
    <w:uiPriority w:val="99"/>
    <w:pPr>
      <w:jc w:val="left"/>
    </w:pPr>
    <w:rPr>
      <w:szCs w:val="24"/>
    </w:r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rPr>
  </w:style>
  <w:style w:type="paragraph" w:styleId="9">
    <w:name w:val="Date"/>
    <w:basedOn w:val="1"/>
    <w:next w:val="1"/>
    <w:link w:val="32"/>
    <w:semiHidden/>
    <w:unhideWhenUsed/>
    <w:qFormat/>
    <w:uiPriority w:val="99"/>
    <w:pPr>
      <w:ind w:left="100" w:leftChars="2500"/>
    </w:pPr>
  </w:style>
  <w:style w:type="paragraph" w:styleId="10">
    <w:name w:val="Balloon Text"/>
    <w:basedOn w:val="1"/>
    <w:link w:val="35"/>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tabs>
        <w:tab w:val="right" w:leader="dot" w:pos="8296"/>
      </w:tabs>
      <w:spacing w:after="100" w:line="259" w:lineRule="auto"/>
      <w:jc w:val="left"/>
    </w:pPr>
    <w:rPr>
      <w:rFonts w:eastAsiaTheme="minorEastAsia"/>
      <w:b/>
      <w:bCs/>
      <w:kern w:val="44"/>
      <w:sz w:val="22"/>
    </w:rPr>
  </w:style>
  <w:style w:type="paragraph" w:styleId="14">
    <w:name w:val="footnote text"/>
    <w:basedOn w:val="1"/>
    <w:link w:val="38"/>
    <w:unhideWhenUsed/>
    <w:qFormat/>
    <w:uiPriority w:val="99"/>
    <w:pPr>
      <w:snapToGrid w:val="0"/>
      <w:jc w:val="left"/>
    </w:pPr>
    <w:rPr>
      <w:sz w:val="18"/>
      <w:szCs w:val="18"/>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rPr>
  </w:style>
  <w:style w:type="paragraph" w:styleId="16">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7">
    <w:name w:val="Title"/>
    <w:basedOn w:val="1"/>
    <w:next w:val="1"/>
    <w:link w:val="40"/>
    <w:qFormat/>
    <w:uiPriority w:val="10"/>
    <w:pPr>
      <w:spacing w:before="240" w:after="60"/>
      <w:jc w:val="center"/>
      <w:outlineLvl w:val="0"/>
    </w:pPr>
    <w:rPr>
      <w:rFonts w:asciiTheme="majorHAnsi" w:hAnsiTheme="majorHAnsi" w:eastAsiaTheme="majorEastAsia" w:cstheme="majorBidi"/>
      <w:b/>
      <w:bCs/>
      <w:szCs w:val="32"/>
    </w:rPr>
  </w:style>
  <w:style w:type="paragraph" w:styleId="18">
    <w:name w:val="annotation subject"/>
    <w:basedOn w:val="7"/>
    <w:next w:val="7"/>
    <w:link w:val="37"/>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page number"/>
    <w:basedOn w:val="21"/>
    <w:qFormat/>
    <w:uiPriority w:val="0"/>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unhideWhenUsed/>
    <w:qFormat/>
    <w:uiPriority w:val="99"/>
    <w:rPr>
      <w:sz w:val="21"/>
      <w:szCs w:val="21"/>
    </w:rPr>
  </w:style>
  <w:style w:type="character" w:styleId="26">
    <w:name w:val="footnote reference"/>
    <w:unhideWhenUsed/>
    <w:qFormat/>
    <w:uiPriority w:val="99"/>
    <w:rPr>
      <w:vertAlign w:val="superscript"/>
    </w:rPr>
  </w:style>
  <w:style w:type="character" w:customStyle="1" w:styleId="27">
    <w:name w:val="标题 1 Char"/>
    <w:basedOn w:val="21"/>
    <w:link w:val="4"/>
    <w:qFormat/>
    <w:uiPriority w:val="9"/>
    <w:rPr>
      <w:rFonts w:ascii="Times New Roman" w:hAnsi="Times New Roman" w:eastAsia="黑体"/>
      <w:bCs/>
      <w:kern w:val="44"/>
      <w:sz w:val="32"/>
      <w:szCs w:val="32"/>
    </w:rPr>
  </w:style>
  <w:style w:type="character" w:customStyle="1" w:styleId="28">
    <w:name w:val="标题 2 Char"/>
    <w:basedOn w:val="21"/>
    <w:link w:val="5"/>
    <w:qFormat/>
    <w:uiPriority w:val="9"/>
    <w:rPr>
      <w:rFonts w:asciiTheme="majorHAnsi" w:hAnsiTheme="majorHAnsi" w:eastAsiaTheme="majorEastAsia" w:cstheme="majorBidi"/>
      <w:b/>
      <w:bCs/>
      <w:kern w:val="2"/>
      <w:sz w:val="32"/>
      <w:szCs w:val="32"/>
    </w:rPr>
  </w:style>
  <w:style w:type="character" w:customStyle="1" w:styleId="29">
    <w:name w:val="标题 3 Char"/>
    <w:basedOn w:val="21"/>
    <w:link w:val="6"/>
    <w:qFormat/>
    <w:uiPriority w:val="9"/>
    <w:rPr>
      <w:rFonts w:asciiTheme="minorHAnsi" w:hAnsiTheme="minorHAnsi" w:eastAsiaTheme="minorEastAsia" w:cstheme="minorBidi"/>
      <w:b/>
      <w:bCs/>
      <w:kern w:val="2"/>
      <w:sz w:val="21"/>
      <w:szCs w:val="32"/>
    </w:rPr>
  </w:style>
  <w:style w:type="character" w:customStyle="1" w:styleId="30">
    <w:name w:val="页眉 Char"/>
    <w:link w:val="12"/>
    <w:qFormat/>
    <w:uiPriority w:val="99"/>
    <w:rPr>
      <w:rFonts w:ascii="Calibri" w:hAnsi="Calibri" w:eastAsia="宋体" w:cs="Times New Roman"/>
      <w:sz w:val="18"/>
      <w:szCs w:val="18"/>
    </w:rPr>
  </w:style>
  <w:style w:type="character" w:customStyle="1" w:styleId="31">
    <w:name w:val="页脚 Char"/>
    <w:link w:val="11"/>
    <w:qFormat/>
    <w:uiPriority w:val="99"/>
    <w:rPr>
      <w:rFonts w:ascii="Calibri" w:hAnsi="Calibri" w:eastAsia="宋体" w:cs="Times New Roman"/>
      <w:sz w:val="18"/>
      <w:szCs w:val="18"/>
    </w:rPr>
  </w:style>
  <w:style w:type="character" w:customStyle="1" w:styleId="32">
    <w:name w:val="日期 Char"/>
    <w:link w:val="9"/>
    <w:semiHidden/>
    <w:qFormat/>
    <w:uiPriority w:val="99"/>
    <w:rPr>
      <w:rFonts w:ascii="Calibri" w:hAnsi="Calibri" w:eastAsia="宋体" w:cs="Times New Roman"/>
    </w:rPr>
  </w:style>
  <w:style w:type="paragraph" w:styleId="33">
    <w:name w:val="List Paragraph"/>
    <w:basedOn w:val="1"/>
    <w:link w:val="34"/>
    <w:qFormat/>
    <w:uiPriority w:val="34"/>
    <w:pPr>
      <w:ind w:firstLine="420"/>
    </w:pPr>
  </w:style>
  <w:style w:type="character" w:customStyle="1" w:styleId="34">
    <w:name w:val="列出段落 Char"/>
    <w:link w:val="33"/>
    <w:qFormat/>
    <w:uiPriority w:val="34"/>
    <w:rPr>
      <w:kern w:val="2"/>
      <w:sz w:val="21"/>
      <w:szCs w:val="22"/>
    </w:rPr>
  </w:style>
  <w:style w:type="character" w:customStyle="1" w:styleId="35">
    <w:name w:val="批注框文本 Char"/>
    <w:link w:val="10"/>
    <w:qFormat/>
    <w:uiPriority w:val="99"/>
    <w:rPr>
      <w:rFonts w:ascii="Times New Roman" w:hAnsi="Times New Roman" w:eastAsia="宋体" w:cs="Times New Roman"/>
      <w:sz w:val="18"/>
      <w:szCs w:val="18"/>
    </w:rPr>
  </w:style>
  <w:style w:type="character" w:customStyle="1" w:styleId="36">
    <w:name w:val="批注文字 Char"/>
    <w:link w:val="7"/>
    <w:qFormat/>
    <w:uiPriority w:val="99"/>
    <w:rPr>
      <w:rFonts w:ascii="Times New Roman" w:hAnsi="Times New Roman" w:eastAsia="宋体" w:cs="Times New Roman"/>
      <w:szCs w:val="24"/>
    </w:rPr>
  </w:style>
  <w:style w:type="character" w:customStyle="1" w:styleId="37">
    <w:name w:val="批注主题 Char"/>
    <w:link w:val="18"/>
    <w:qFormat/>
    <w:uiPriority w:val="99"/>
    <w:rPr>
      <w:rFonts w:ascii="Times New Roman" w:hAnsi="Times New Roman" w:eastAsia="宋体" w:cs="Times New Roman"/>
      <w:b/>
      <w:bCs/>
      <w:szCs w:val="24"/>
    </w:rPr>
  </w:style>
  <w:style w:type="character" w:customStyle="1" w:styleId="38">
    <w:name w:val="脚注文本 Char"/>
    <w:link w:val="14"/>
    <w:qFormat/>
    <w:uiPriority w:val="99"/>
    <w:rPr>
      <w:sz w:val="18"/>
      <w:szCs w:val="18"/>
    </w:rPr>
  </w:style>
  <w:style w:type="paragraph" w:styleId="39">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40">
    <w:name w:val="标题 Char"/>
    <w:basedOn w:val="21"/>
    <w:link w:val="17"/>
    <w:qFormat/>
    <w:uiPriority w:val="10"/>
    <w:rPr>
      <w:rFonts w:asciiTheme="majorHAnsi" w:hAnsiTheme="majorHAnsi" w:eastAsiaTheme="majorEastAsia" w:cstheme="majorBidi"/>
      <w:b/>
      <w:bCs/>
      <w:kern w:val="2"/>
      <w:sz w:val="32"/>
      <w:szCs w:val="32"/>
    </w:rPr>
  </w:style>
  <w:style w:type="paragraph" w:customStyle="1" w:styleId="41">
    <w:name w:val="p0"/>
    <w:basedOn w:val="1"/>
    <w:qFormat/>
    <w:uiPriority w:val="0"/>
    <w:pPr>
      <w:widowControl/>
    </w:pPr>
    <w:rPr>
      <w:rFonts w:cs="宋体"/>
      <w:kern w:val="0"/>
      <w:szCs w:val="21"/>
    </w:rPr>
  </w:style>
  <w:style w:type="paragraph" w:customStyle="1" w:styleId="42">
    <w:name w:val="列出段落1"/>
    <w:basedOn w:val="1"/>
    <w:qFormat/>
    <w:uiPriority w:val="34"/>
    <w:pPr>
      <w:ind w:firstLine="420"/>
    </w:pPr>
    <w:rPr>
      <w:rFonts w:asciiTheme="minorHAnsi" w:hAnsiTheme="minorHAnsi" w:eastAsiaTheme="minorEastAsia" w:cstheme="minorBidi"/>
    </w:rPr>
  </w:style>
  <w:style w:type="paragraph" w:customStyle="1" w:styleId="43">
    <w:name w:val="正文0"/>
    <w:basedOn w:val="1"/>
    <w:qFormat/>
    <w:uiPriority w:val="99"/>
    <w:pPr>
      <w:autoSpaceDE w:val="0"/>
      <w:autoSpaceDN w:val="0"/>
      <w:adjustRightInd w:val="0"/>
      <w:spacing w:line="241" w:lineRule="atLeast"/>
      <w:ind w:firstLine="367"/>
    </w:pPr>
    <w:rPr>
      <w:rFonts w:ascii="方正书宋_GBK" w:eastAsia="方正书宋_GBK" w:cs="方正书宋_GBK"/>
      <w:color w:val="000000"/>
      <w:kern w:val="0"/>
      <w:sz w:val="18"/>
      <w:szCs w:val="18"/>
      <w:lang w:val="zh-CN"/>
    </w:rPr>
  </w:style>
  <w:style w:type="character" w:customStyle="1" w:styleId="44">
    <w:name w:val="fontstyle01"/>
    <w:basedOn w:val="21"/>
    <w:qFormat/>
    <w:uiPriority w:val="0"/>
    <w:rPr>
      <w:rFonts w:hint="eastAsia" w:ascii="仿宋_GB2312" w:eastAsia="仿宋_GB2312"/>
      <w:color w:val="000000"/>
      <w:sz w:val="32"/>
      <w:szCs w:val="32"/>
    </w:rPr>
  </w:style>
  <w:style w:type="character" w:customStyle="1" w:styleId="45">
    <w:name w:val="apple-converted-space"/>
    <w:basedOn w:val="21"/>
    <w:qFormat/>
    <w:uiPriority w:val="0"/>
  </w:style>
  <w:style w:type="paragraph" w:customStyle="1" w:styleId="46">
    <w:name w:val="TOC 标题1"/>
    <w:basedOn w:val="4"/>
    <w:next w:val="1"/>
    <w:unhideWhenUsed/>
    <w:qFormat/>
    <w:uiPriority w:val="39"/>
    <w:pPr>
      <w:widowControl/>
      <w:spacing w:before="240" w:line="259" w:lineRule="auto"/>
      <w:jc w:val="left"/>
      <w:outlineLvl w:val="9"/>
    </w:pPr>
    <w:rPr>
      <w:rFonts w:asciiTheme="majorHAnsi" w:hAnsiTheme="majorHAnsi" w:eastAsiaTheme="majorEastAsia" w:cstheme="majorBidi"/>
      <w:b/>
      <w:bCs w:val="0"/>
      <w:color w:val="2E75B6" w:themeColor="accent1" w:themeShade="BF"/>
      <w:kern w:val="0"/>
    </w:rPr>
  </w:style>
  <w:style w:type="paragraph" w:customStyle="1" w:styleId="47">
    <w:name w:val="Default"/>
    <w:qFormat/>
    <w:uiPriority w:val="0"/>
    <w:pPr>
      <w:widowControl w:val="0"/>
      <w:autoSpaceDE w:val="0"/>
      <w:autoSpaceDN w:val="0"/>
      <w:adjustRightInd w:val="0"/>
    </w:pPr>
    <w:rPr>
      <w:rFonts w:ascii="Arial Unicode MS" w:eastAsia="Arial Unicode MS" w:cs="Arial Unicode MS" w:hAnsiTheme="minorHAnsi"/>
      <w:color w:val="000000"/>
      <w:sz w:val="24"/>
      <w:szCs w:val="24"/>
      <w:lang w:val="en-US" w:eastAsia="zh-CN" w:bidi="ar-SA"/>
    </w:rPr>
  </w:style>
  <w:style w:type="paragraph" w:customStyle="1" w:styleId="48">
    <w:name w:val="签报标题"/>
    <w:basedOn w:val="4"/>
    <w:link w:val="49"/>
    <w:qFormat/>
    <w:uiPriority w:val="0"/>
    <w:pPr>
      <w:keepNext w:val="0"/>
      <w:keepLines w:val="0"/>
      <w:widowControl/>
      <w:ind w:firstLine="643"/>
    </w:pPr>
    <w:rPr>
      <w:rFonts w:ascii="黑体" w:hAnsi="黑体" w:eastAsia="方正大标宋简体"/>
      <w:bCs w:val="0"/>
      <w:sz w:val="44"/>
    </w:rPr>
  </w:style>
  <w:style w:type="character" w:customStyle="1" w:styleId="49">
    <w:name w:val="签报标题 Char"/>
    <w:basedOn w:val="27"/>
    <w:link w:val="48"/>
    <w:qFormat/>
    <w:uiPriority w:val="0"/>
    <w:rPr>
      <w:rFonts w:ascii="黑体" w:hAnsi="黑体" w:eastAsia="方正大标宋简体" w:cstheme="minorBidi"/>
      <w:bCs w:val="0"/>
      <w:kern w:val="44"/>
      <w:sz w:val="44"/>
      <w:szCs w:val="44"/>
    </w:rPr>
  </w:style>
  <w:style w:type="paragraph" w:customStyle="1" w:styleId="50">
    <w:name w:val="签报一级标题"/>
    <w:basedOn w:val="4"/>
    <w:link w:val="51"/>
    <w:qFormat/>
    <w:uiPriority w:val="0"/>
    <w:pPr>
      <w:keepNext w:val="0"/>
      <w:keepLines w:val="0"/>
      <w:widowControl/>
      <w:ind w:firstLine="640"/>
    </w:pPr>
    <w:rPr>
      <w:b/>
      <w:bCs w:val="0"/>
    </w:rPr>
  </w:style>
  <w:style w:type="character" w:customStyle="1" w:styleId="51">
    <w:name w:val="签报一级标题 Char"/>
    <w:basedOn w:val="27"/>
    <w:link w:val="50"/>
    <w:qFormat/>
    <w:uiPriority w:val="0"/>
    <w:rPr>
      <w:rFonts w:ascii="Times New Roman" w:hAnsi="Times New Roman" w:eastAsia="黑体" w:cstheme="minorBidi"/>
      <w:b/>
      <w:bCs w:val="0"/>
      <w:kern w:val="44"/>
      <w:sz w:val="32"/>
      <w:szCs w:val="32"/>
    </w:rPr>
  </w:style>
  <w:style w:type="paragraph" w:customStyle="1" w:styleId="52">
    <w:name w:val="签报二级标题"/>
    <w:basedOn w:val="1"/>
    <w:link w:val="53"/>
    <w:qFormat/>
    <w:uiPriority w:val="0"/>
    <w:pPr>
      <w:spacing w:line="600" w:lineRule="exact"/>
      <w:ind w:firstLine="640"/>
    </w:pPr>
    <w:rPr>
      <w:rFonts w:eastAsia="楷体"/>
      <w:szCs w:val="32"/>
    </w:rPr>
  </w:style>
  <w:style w:type="character" w:customStyle="1" w:styleId="53">
    <w:name w:val="签报二级标题 Char"/>
    <w:basedOn w:val="21"/>
    <w:link w:val="52"/>
    <w:qFormat/>
    <w:uiPriority w:val="0"/>
    <w:rPr>
      <w:rFonts w:ascii="Times New Roman" w:hAnsi="Times New Roman" w:eastAsia="楷体"/>
      <w:kern w:val="2"/>
      <w:sz w:val="32"/>
      <w:szCs w:val="32"/>
    </w:rPr>
  </w:style>
  <w:style w:type="paragraph" w:customStyle="1" w:styleId="54">
    <w:name w:val="签报正文"/>
    <w:basedOn w:val="1"/>
    <w:link w:val="55"/>
    <w:qFormat/>
    <w:uiPriority w:val="0"/>
    <w:pPr>
      <w:spacing w:line="600" w:lineRule="exact"/>
      <w:ind w:firstLine="640"/>
    </w:pPr>
    <w:rPr>
      <w:rFonts w:ascii="仿宋" w:hAnsi="仿宋" w:cstheme="minorBidi"/>
      <w:szCs w:val="32"/>
    </w:rPr>
  </w:style>
  <w:style w:type="character" w:customStyle="1" w:styleId="55">
    <w:name w:val="签报正文 Char"/>
    <w:basedOn w:val="21"/>
    <w:link w:val="54"/>
    <w:qFormat/>
    <w:uiPriority w:val="0"/>
    <w:rPr>
      <w:rFonts w:ascii="仿宋" w:hAnsi="仿宋" w:eastAsia="仿宋" w:cstheme="minorBidi"/>
      <w:kern w:val="2"/>
      <w:sz w:val="32"/>
      <w:szCs w:val="32"/>
    </w:rPr>
  </w:style>
  <w:style w:type="paragraph" w:customStyle="1" w:styleId="56">
    <w:name w:val="qowt-stl-正文"/>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7">
    <w:name w:val="修订1"/>
    <w:hidden/>
    <w:semiHidden/>
    <w:qFormat/>
    <w:uiPriority w:val="99"/>
    <w:rPr>
      <w:rFonts w:ascii="Calibri" w:hAnsi="Calibri" w:eastAsia="宋体" w:cs="Times New Roman"/>
      <w:kern w:val="2"/>
      <w:sz w:val="21"/>
      <w:szCs w:val="22"/>
      <w:lang w:val="en-US" w:eastAsia="zh-CN" w:bidi="ar-SA"/>
    </w:rPr>
  </w:style>
  <w:style w:type="paragraph" w:customStyle="1" w:styleId="58">
    <w:name w:val="修订2"/>
    <w:hidden/>
    <w:semiHidden/>
    <w:qFormat/>
    <w:uiPriority w:val="99"/>
    <w:rPr>
      <w:rFonts w:ascii="Calibri" w:hAnsi="Calibri" w:eastAsia="宋体" w:cs="Times New Roman"/>
      <w:kern w:val="2"/>
      <w:sz w:val="21"/>
      <w:szCs w:val="22"/>
      <w:lang w:val="en-US" w:eastAsia="zh-CN" w:bidi="ar-SA"/>
    </w:rPr>
  </w:style>
  <w:style w:type="table" w:customStyle="1" w:styleId="59">
    <w:name w:val="网格型1"/>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12405</Words>
  <Characters>13164</Characters>
  <Lines>97</Lines>
  <Paragraphs>27</Paragraphs>
  <TotalTime>5</TotalTime>
  <ScaleCrop>false</ScaleCrop>
  <LinksUpToDate>false</LinksUpToDate>
  <CharactersWithSpaces>13369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2023-10-17T06:37:00Z</dcterms:created>
  <dc:creator>bse</dc:creator>
  <cp:lastModifiedBy>fanzj</cp:lastModifiedBy>
  <cp:lastPrinted>2025-11-04T10:47:00Z</cp:lastPrinted>
  <dcterms:modified xsi:type="dcterms:W3CDTF">2026-04-24T15:39:10Z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A02EE30262D43677AE1AEB6959AD238E</vt:lpwstr>
  </property>
</Properties>
</file>